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D85" w:rsidRDefault="00863D85" w:rsidP="00863D85">
      <w:pPr>
        <w:spacing w:line="480" w:lineRule="auto"/>
        <w:jc w:val="center"/>
        <w:rPr>
          <w:rFonts w:ascii="David" w:eastAsia="Arial" w:hAnsi="David" w:cs="David"/>
          <w:b/>
          <w:sz w:val="26"/>
          <w:szCs w:val="26"/>
          <w:u w:val="single"/>
        </w:rPr>
      </w:pPr>
      <w:r>
        <w:rPr>
          <w:rFonts w:ascii="David" w:eastAsia="Arial" w:hAnsi="David" w:cs="David"/>
          <w:b/>
          <w:sz w:val="26"/>
          <w:szCs w:val="26"/>
          <w:u w:val="single"/>
          <w:rtl/>
        </w:rPr>
        <w:t xml:space="preserve">דגשים להדרכת קבוצות עם מוגבלות </w:t>
      </w:r>
      <w:r>
        <w:rPr>
          <w:rFonts w:ascii="David" w:eastAsia="Arial" w:hAnsi="David" w:cs="David" w:hint="cs"/>
          <w:b/>
          <w:sz w:val="26"/>
          <w:szCs w:val="26"/>
          <w:u w:val="single"/>
          <w:rtl/>
        </w:rPr>
        <w:t>פיזית ותנועתית</w:t>
      </w:r>
      <w:r>
        <w:rPr>
          <w:rFonts w:ascii="David" w:eastAsia="Arial" w:hAnsi="David" w:cs="David"/>
          <w:b/>
          <w:sz w:val="26"/>
          <w:szCs w:val="26"/>
          <w:u w:val="single"/>
          <w:rtl/>
        </w:rPr>
        <w:t>:</w:t>
      </w:r>
    </w:p>
    <w:p w:rsidR="00863D85" w:rsidRDefault="00863D85" w:rsidP="00863D85">
      <w:pPr>
        <w:spacing w:line="480" w:lineRule="auto"/>
        <w:ind w:left="-625"/>
        <w:jc w:val="both"/>
        <w:rPr>
          <w:rFonts w:ascii="David" w:hAnsi="David" w:cs="David"/>
          <w:b/>
          <w:bCs/>
          <w:rtl/>
        </w:rPr>
      </w:pPr>
      <w:r>
        <w:rPr>
          <w:rFonts w:ascii="David" w:hAnsi="David" w:cs="David"/>
          <w:b/>
          <w:bCs/>
          <w:rtl/>
        </w:rPr>
        <w:t>על הקבוצות:</w:t>
      </w:r>
    </w:p>
    <w:p w:rsidR="00863D85" w:rsidRDefault="00863D85" w:rsidP="00863D85">
      <w:pPr>
        <w:spacing w:line="480" w:lineRule="auto"/>
        <w:ind w:left="-625"/>
        <w:jc w:val="both"/>
        <w:rPr>
          <w:rFonts w:ascii="David" w:eastAsia="Times New Roman" w:hAnsi="David" w:cs="David"/>
        </w:rPr>
      </w:pPr>
      <w:r>
        <w:rPr>
          <w:rFonts w:ascii="David" w:hAnsi="David" w:cs="David"/>
          <w:rtl/>
        </w:rPr>
        <w:t>אנשים עם מוגבלו</w:t>
      </w:r>
      <w:r>
        <w:rPr>
          <w:rFonts w:ascii="David" w:hAnsi="David" w:cs="David" w:hint="cs"/>
          <w:rtl/>
        </w:rPr>
        <w:t>יו</w:t>
      </w:r>
      <w:r>
        <w:rPr>
          <w:rFonts w:ascii="David" w:hAnsi="David" w:cs="David"/>
          <w:rtl/>
        </w:rPr>
        <w:t xml:space="preserve">ת </w:t>
      </w:r>
      <w:r>
        <w:rPr>
          <w:rFonts w:ascii="David" w:hAnsi="David" w:cs="David" w:hint="cs"/>
          <w:rtl/>
        </w:rPr>
        <w:t>פיזיות</w:t>
      </w:r>
      <w:r>
        <w:rPr>
          <w:rFonts w:ascii="David" w:hAnsi="David" w:cs="David"/>
          <w:rtl/>
        </w:rPr>
        <w:t xml:space="preserve"> </w:t>
      </w:r>
      <w:r>
        <w:rPr>
          <w:rFonts w:ascii="David" w:hAnsi="David" w:cs="David" w:hint="cs"/>
          <w:rtl/>
        </w:rPr>
        <w:t>יגיעו בקבוצות הטרוגניות או בקבוצות הומוגניות</w:t>
      </w:r>
      <w:r>
        <w:rPr>
          <w:rFonts w:ascii="David" w:hAnsi="David" w:cs="David"/>
          <w:rtl/>
        </w:rPr>
        <w:t>. כמו כן</w:t>
      </w:r>
      <w:r>
        <w:rPr>
          <w:rFonts w:ascii="David" w:hAnsi="David" w:cs="David" w:hint="cs"/>
          <w:rtl/>
        </w:rPr>
        <w:t xml:space="preserve"> </w:t>
      </w:r>
      <w:r>
        <w:rPr>
          <w:rFonts w:ascii="David" w:hAnsi="David" w:cs="David"/>
          <w:rtl/>
        </w:rPr>
        <w:t xml:space="preserve">גם אם תהיינה יכולות תפקוד דומות, עדיין </w:t>
      </w:r>
      <w:r>
        <w:rPr>
          <w:rFonts w:ascii="David" w:hAnsi="David" w:cs="David" w:hint="cs"/>
          <w:rtl/>
        </w:rPr>
        <w:t>ה</w:t>
      </w:r>
      <w:r>
        <w:rPr>
          <w:rFonts w:ascii="David" w:hAnsi="David" w:cs="David"/>
          <w:rtl/>
        </w:rPr>
        <w:t xml:space="preserve">מבקרים </w:t>
      </w:r>
      <w:r>
        <w:rPr>
          <w:rFonts w:ascii="David" w:hAnsi="David" w:cs="David" w:hint="cs"/>
          <w:rtl/>
        </w:rPr>
        <w:t>יכולים להיות בעלי</w:t>
      </w:r>
      <w:r>
        <w:rPr>
          <w:rFonts w:ascii="David" w:hAnsi="David" w:cs="David"/>
          <w:rtl/>
        </w:rPr>
        <w:t xml:space="preserve"> יכולות שונות מבחינת </w:t>
      </w:r>
      <w:r>
        <w:rPr>
          <w:rFonts w:ascii="David" w:hAnsi="David" w:cs="David" w:hint="cs"/>
          <w:rtl/>
        </w:rPr>
        <w:t>יכולות פיסיות.</w:t>
      </w:r>
    </w:p>
    <w:p w:rsidR="00863D85" w:rsidRDefault="00863D85" w:rsidP="00863D85">
      <w:pPr>
        <w:spacing w:line="480" w:lineRule="auto"/>
        <w:ind w:left="-625"/>
        <w:jc w:val="both"/>
        <w:rPr>
          <w:rFonts w:ascii="David" w:hAnsi="David" w:cs="David"/>
          <w:rtl/>
        </w:rPr>
      </w:pPr>
      <w:r>
        <w:rPr>
          <w:rFonts w:ascii="David" w:hAnsi="David" w:cs="David"/>
          <w:rtl/>
        </w:rPr>
        <w:t xml:space="preserve">המאפיינים המרכזיים של קבוצות אלה </w:t>
      </w:r>
      <w:r>
        <w:rPr>
          <w:rFonts w:ascii="David" w:hAnsi="David" w:cs="David" w:hint="cs"/>
          <w:rtl/>
        </w:rPr>
        <w:t>הינם קשיים במעברים בין מוקדים רבים ובין הקומות וחו</w:t>
      </w:r>
      <w:r w:rsidR="00D71B90">
        <w:rPr>
          <w:rFonts w:ascii="David" w:hAnsi="David" w:cs="David" w:hint="cs"/>
          <w:rtl/>
        </w:rPr>
        <w:t>סר יכולת לעמוד למשך זמן רב היה ואינם נעזרים בכיסאות גלגלים.</w:t>
      </w:r>
    </w:p>
    <w:p w:rsidR="00863D85" w:rsidRDefault="00863D85" w:rsidP="00863D85">
      <w:pPr>
        <w:spacing w:line="480" w:lineRule="auto"/>
        <w:ind w:left="-625"/>
        <w:jc w:val="both"/>
        <w:rPr>
          <w:rFonts w:ascii="David" w:hAnsi="David" w:cs="David"/>
          <w:b/>
          <w:bCs/>
          <w:rtl/>
        </w:rPr>
      </w:pPr>
      <w:r>
        <w:rPr>
          <w:rFonts w:ascii="David" w:hAnsi="David" w:cs="David"/>
          <w:rtl/>
        </w:rPr>
        <w:t xml:space="preserve">משמעות הדבר היא </w:t>
      </w:r>
      <w:r w:rsidR="00D71B90">
        <w:rPr>
          <w:rFonts w:ascii="David" w:hAnsi="David" w:cs="David" w:hint="cs"/>
          <w:b/>
          <w:bCs/>
          <w:rtl/>
        </w:rPr>
        <w:t xml:space="preserve">שההדרכה צריכה להיות ממוקדת במוצגים ומוקדים קרובים זה לזה ולא להתפרש על שטחים רחבים מדי שיקשו על המבקרים. </w:t>
      </w:r>
    </w:p>
    <w:p w:rsidR="00D71B90" w:rsidRDefault="00D71B90" w:rsidP="00863D85">
      <w:pPr>
        <w:spacing w:line="480" w:lineRule="auto"/>
        <w:ind w:left="-625"/>
        <w:jc w:val="both"/>
        <w:rPr>
          <w:rFonts w:ascii="David" w:hAnsi="David" w:cs="David"/>
          <w:b/>
          <w:bCs/>
          <w:rtl/>
        </w:rPr>
      </w:pPr>
    </w:p>
    <w:p w:rsidR="00D71B90" w:rsidRDefault="00D71B90" w:rsidP="00863D85">
      <w:pPr>
        <w:spacing w:line="480" w:lineRule="auto"/>
        <w:ind w:left="-625"/>
        <w:jc w:val="both"/>
        <w:rPr>
          <w:rFonts w:ascii="David" w:hAnsi="David" w:cs="David"/>
          <w:b/>
          <w:bCs/>
          <w:rtl/>
        </w:rPr>
      </w:pPr>
      <w:r>
        <w:rPr>
          <w:rFonts w:ascii="David" w:hAnsi="David" w:cs="David" w:hint="cs"/>
          <w:b/>
          <w:bCs/>
          <w:rtl/>
        </w:rPr>
        <w:t>דגשים להדרכה:</w:t>
      </w:r>
    </w:p>
    <w:p w:rsidR="006C3754" w:rsidRPr="006C3754" w:rsidRDefault="00D71B90" w:rsidP="006C3754">
      <w:pPr>
        <w:pStyle w:val="a3"/>
        <w:numPr>
          <w:ilvl w:val="0"/>
          <w:numId w:val="2"/>
        </w:numPr>
        <w:spacing w:line="480" w:lineRule="auto"/>
        <w:jc w:val="both"/>
        <w:rPr>
          <w:rFonts w:ascii="David" w:eastAsia="Times New Roman" w:hAnsi="David" w:cs="David"/>
        </w:rPr>
      </w:pPr>
      <w:r>
        <w:rPr>
          <w:rFonts w:ascii="David" w:hAnsi="David" w:cs="David" w:hint="cs"/>
          <w:rtl/>
        </w:rPr>
        <w:t xml:space="preserve">חובה לשוחח עם ראש הקבוצה בתחילת הסיור </w:t>
      </w:r>
      <w:r w:rsidR="006C3754" w:rsidRPr="006C3754">
        <w:rPr>
          <w:rFonts w:ascii="David" w:hAnsi="David" w:cs="David"/>
          <w:rtl/>
        </w:rPr>
        <w:t>ולראות שהתיאום מראש על תכנים וקומות מתאימים למידע המקדים שהתקבל, זאת במטרה שלא תהיינה אי הבנות או התעכבות על תכנים ונקודות שהינן פחות מתאימות לקבוצה.</w:t>
      </w:r>
    </w:p>
    <w:p w:rsidR="00D71B90" w:rsidRPr="00D71B90" w:rsidRDefault="006C3754" w:rsidP="00D71B90">
      <w:pPr>
        <w:pStyle w:val="a3"/>
        <w:numPr>
          <w:ilvl w:val="0"/>
          <w:numId w:val="2"/>
        </w:numPr>
        <w:spacing w:line="480" w:lineRule="auto"/>
        <w:jc w:val="both"/>
        <w:rPr>
          <w:rFonts w:ascii="David" w:hAnsi="David" w:cs="David"/>
        </w:rPr>
      </w:pPr>
      <w:r>
        <w:rPr>
          <w:rFonts w:ascii="David" w:hAnsi="David" w:cs="David" w:hint="cs"/>
          <w:rtl/>
        </w:rPr>
        <w:t xml:space="preserve">יש </w:t>
      </w:r>
      <w:r w:rsidR="00D71B90" w:rsidRPr="00D71B90">
        <w:rPr>
          <w:rFonts w:ascii="David" w:hAnsi="David" w:cs="David" w:hint="cs"/>
          <w:rtl/>
        </w:rPr>
        <w:t>לקחת בחשבון ב</w:t>
      </w:r>
      <w:r>
        <w:rPr>
          <w:rFonts w:ascii="David" w:hAnsi="David" w:cs="David" w:hint="cs"/>
          <w:rtl/>
        </w:rPr>
        <w:t xml:space="preserve">מסגרת זמני הסיור </w:t>
      </w:r>
      <w:r w:rsidR="00D71B90" w:rsidRPr="00D71B90">
        <w:rPr>
          <w:rFonts w:ascii="David" w:hAnsi="David" w:cs="David" w:hint="cs"/>
          <w:rtl/>
        </w:rPr>
        <w:t>את זמן המעבר בין הקומות, אם במעלית או במדרגות בקצב איטי. אסור להאיץ בקבוצה.</w:t>
      </w:r>
    </w:p>
    <w:p w:rsidR="00D71B90" w:rsidRPr="00D71B90" w:rsidRDefault="00D71B90" w:rsidP="00D71B90">
      <w:pPr>
        <w:pStyle w:val="a3"/>
        <w:numPr>
          <w:ilvl w:val="0"/>
          <w:numId w:val="2"/>
        </w:numPr>
        <w:spacing w:line="480" w:lineRule="auto"/>
        <w:jc w:val="both"/>
        <w:rPr>
          <w:rFonts w:ascii="David" w:hAnsi="David" w:cs="David"/>
        </w:rPr>
      </w:pPr>
      <w:r w:rsidRPr="00D71B90">
        <w:rPr>
          <w:rFonts w:ascii="David" w:hAnsi="David" w:cs="David" w:hint="cs"/>
          <w:rtl/>
        </w:rPr>
        <w:t>מומלץ להתמקד במוצגים ובמוקדים צמודים וקרובים זה לזה באופן מאוזן בהדרכה ולא להתפרש על שטחים רחבים מדי.</w:t>
      </w:r>
    </w:p>
    <w:p w:rsidR="00D71B90" w:rsidRDefault="00D71B90" w:rsidP="004D0B1B">
      <w:pPr>
        <w:pStyle w:val="a3"/>
        <w:numPr>
          <w:ilvl w:val="0"/>
          <w:numId w:val="2"/>
        </w:numPr>
        <w:spacing w:line="480" w:lineRule="auto"/>
        <w:jc w:val="both"/>
        <w:rPr>
          <w:rFonts w:ascii="David" w:hAnsi="David" w:cs="David"/>
        </w:rPr>
      </w:pPr>
      <w:r w:rsidRPr="00D71B90">
        <w:rPr>
          <w:rFonts w:ascii="David" w:hAnsi="David" w:cs="David" w:hint="cs"/>
          <w:rtl/>
        </w:rPr>
        <w:t>בקבוצות עם כסאות גלגלים יש למקם את המשתתפים באופן בו המוצג בגובה העיניים שלהם, היה והמוצג גבוה יש לבקש מהם לעמוד במרחק סביר ממנו המוצג נראה באופן מיטיבי. כמו כן בקבוצות עם כיסאות גלגלים חובה לבחור מוצגים מתאימים לגובה המשתתפים ונגישים להם.</w:t>
      </w:r>
    </w:p>
    <w:p w:rsidR="00D71B90" w:rsidRDefault="006C3754" w:rsidP="004D0B1B">
      <w:pPr>
        <w:pStyle w:val="a3"/>
        <w:numPr>
          <w:ilvl w:val="0"/>
          <w:numId w:val="2"/>
        </w:numPr>
        <w:spacing w:line="480" w:lineRule="auto"/>
        <w:jc w:val="both"/>
        <w:rPr>
          <w:rFonts w:ascii="David" w:hAnsi="David" w:cs="David"/>
        </w:rPr>
      </w:pPr>
      <w:r>
        <w:rPr>
          <w:rFonts w:ascii="David" w:hAnsi="David" w:cs="David" w:hint="cs"/>
          <w:rtl/>
        </w:rPr>
        <w:t xml:space="preserve">גמישות </w:t>
      </w:r>
      <w:proofErr w:type="spellStart"/>
      <w:r>
        <w:rPr>
          <w:rFonts w:ascii="David" w:hAnsi="David" w:cs="David" w:hint="cs"/>
          <w:rtl/>
        </w:rPr>
        <w:t>גמישות</w:t>
      </w:r>
      <w:proofErr w:type="spellEnd"/>
      <w:r>
        <w:rPr>
          <w:rFonts w:ascii="David" w:hAnsi="David" w:cs="David" w:hint="cs"/>
          <w:rtl/>
        </w:rPr>
        <w:t xml:space="preserve"> </w:t>
      </w:r>
      <w:proofErr w:type="spellStart"/>
      <w:r>
        <w:rPr>
          <w:rFonts w:ascii="David" w:hAnsi="David" w:cs="David" w:hint="cs"/>
          <w:rtl/>
        </w:rPr>
        <w:t>גמישות</w:t>
      </w:r>
      <w:proofErr w:type="spellEnd"/>
      <w:r>
        <w:rPr>
          <w:rFonts w:ascii="David" w:hAnsi="David" w:cs="David" w:hint="cs"/>
          <w:rtl/>
        </w:rPr>
        <w:t>.</w:t>
      </w:r>
    </w:p>
    <w:p w:rsidR="00D71B90" w:rsidRPr="006C3754" w:rsidRDefault="006C3754" w:rsidP="006C3754">
      <w:pPr>
        <w:pStyle w:val="a3"/>
        <w:numPr>
          <w:ilvl w:val="0"/>
          <w:numId w:val="2"/>
        </w:numPr>
        <w:spacing w:line="480" w:lineRule="auto"/>
        <w:jc w:val="both"/>
        <w:rPr>
          <w:rFonts w:ascii="David" w:hAnsi="David" w:cs="David"/>
          <w:rtl/>
        </w:rPr>
      </w:pPr>
      <w:r>
        <w:rPr>
          <w:rFonts w:ascii="David" w:hAnsi="David" w:cs="David" w:hint="cs"/>
          <w:rtl/>
        </w:rPr>
        <w:t>מומלץ להתמקד בסיור בקומות רחבות ונגישות כדוגמת קומות 3 ו-1, היה והקבוצה מבקשת גם הדרכה בקומה 2 יש להזהיר מראש שהקומה פחות נגישה ולתת להם לעשות את השיקולים. ניתן להציע להם הדרכה ממוקדת במרחב הפתיחה של קומה 2 (מסעות היהודים ומסביב).</w:t>
      </w:r>
    </w:p>
    <w:p w:rsidR="00D71B90" w:rsidRPr="00D71B90" w:rsidRDefault="00D71B90" w:rsidP="00D71B90">
      <w:pPr>
        <w:spacing w:line="480" w:lineRule="auto"/>
        <w:jc w:val="both"/>
        <w:rPr>
          <w:rFonts w:ascii="David" w:hAnsi="David" w:cs="David"/>
          <w:b/>
          <w:bCs/>
          <w:rtl/>
        </w:rPr>
      </w:pPr>
      <w:r w:rsidRPr="00D71B90">
        <w:rPr>
          <w:rFonts w:ascii="David" w:hAnsi="David" w:cs="David" w:hint="cs"/>
          <w:b/>
          <w:bCs/>
          <w:rtl/>
        </w:rPr>
        <w:t>שימו לב קיים במאגרים החינוכיים סיור טעימות קלאסי המותאם לקשישים בעלי מוגבלות פיזית ותנועתית ושם מצוין מסלול מיטיבי לקבוצות אלו</w:t>
      </w:r>
      <w:r w:rsidR="006C3754">
        <w:rPr>
          <w:rFonts w:ascii="David" w:hAnsi="David" w:cs="David" w:hint="cs"/>
          <w:b/>
          <w:bCs/>
          <w:rtl/>
        </w:rPr>
        <w:t>, המסלול מציין היכן ישנם ספסלים ליד</w:t>
      </w:r>
      <w:bookmarkStart w:id="0" w:name="_GoBack"/>
      <w:bookmarkEnd w:id="0"/>
      <w:r w:rsidRPr="00D71B90">
        <w:rPr>
          <w:rFonts w:ascii="David" w:hAnsi="David" w:cs="David" w:hint="cs"/>
          <w:b/>
          <w:bCs/>
          <w:rtl/>
        </w:rPr>
        <w:t>.</w:t>
      </w:r>
    </w:p>
    <w:p w:rsidR="00C0225E" w:rsidRPr="00863D85" w:rsidRDefault="00C0225E" w:rsidP="00863D85"/>
    <w:sectPr w:rsidR="00C0225E" w:rsidRPr="00863D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0184C"/>
    <w:multiLevelType w:val="hybridMultilevel"/>
    <w:tmpl w:val="48B6CB72"/>
    <w:lvl w:ilvl="0" w:tplc="27FC60F6">
      <w:numFmt w:val="bullet"/>
      <w:lvlText w:val=""/>
      <w:lvlJc w:val="left"/>
      <w:pPr>
        <w:ind w:left="-265" w:hanging="360"/>
      </w:pPr>
      <w:rPr>
        <w:rFonts w:ascii="Symbol" w:eastAsia="Calibri" w:hAnsi="Symbol" w:cs="David" w:hint="default"/>
      </w:rPr>
    </w:lvl>
    <w:lvl w:ilvl="1" w:tplc="10000003" w:tentative="1">
      <w:start w:val="1"/>
      <w:numFmt w:val="bullet"/>
      <w:lvlText w:val="o"/>
      <w:lvlJc w:val="left"/>
      <w:pPr>
        <w:ind w:left="455" w:hanging="360"/>
      </w:pPr>
      <w:rPr>
        <w:rFonts w:ascii="Courier New" w:hAnsi="Courier New" w:cs="Courier New" w:hint="default"/>
      </w:rPr>
    </w:lvl>
    <w:lvl w:ilvl="2" w:tplc="10000005" w:tentative="1">
      <w:start w:val="1"/>
      <w:numFmt w:val="bullet"/>
      <w:lvlText w:val=""/>
      <w:lvlJc w:val="left"/>
      <w:pPr>
        <w:ind w:left="1175" w:hanging="360"/>
      </w:pPr>
      <w:rPr>
        <w:rFonts w:ascii="Wingdings" w:hAnsi="Wingdings" w:hint="default"/>
      </w:rPr>
    </w:lvl>
    <w:lvl w:ilvl="3" w:tplc="10000001" w:tentative="1">
      <w:start w:val="1"/>
      <w:numFmt w:val="bullet"/>
      <w:lvlText w:val=""/>
      <w:lvlJc w:val="left"/>
      <w:pPr>
        <w:ind w:left="1895" w:hanging="360"/>
      </w:pPr>
      <w:rPr>
        <w:rFonts w:ascii="Symbol" w:hAnsi="Symbol" w:hint="default"/>
      </w:rPr>
    </w:lvl>
    <w:lvl w:ilvl="4" w:tplc="10000003" w:tentative="1">
      <w:start w:val="1"/>
      <w:numFmt w:val="bullet"/>
      <w:lvlText w:val="o"/>
      <w:lvlJc w:val="left"/>
      <w:pPr>
        <w:ind w:left="2615" w:hanging="360"/>
      </w:pPr>
      <w:rPr>
        <w:rFonts w:ascii="Courier New" w:hAnsi="Courier New" w:cs="Courier New" w:hint="default"/>
      </w:rPr>
    </w:lvl>
    <w:lvl w:ilvl="5" w:tplc="10000005" w:tentative="1">
      <w:start w:val="1"/>
      <w:numFmt w:val="bullet"/>
      <w:lvlText w:val=""/>
      <w:lvlJc w:val="left"/>
      <w:pPr>
        <w:ind w:left="3335" w:hanging="360"/>
      </w:pPr>
      <w:rPr>
        <w:rFonts w:ascii="Wingdings" w:hAnsi="Wingdings" w:hint="default"/>
      </w:rPr>
    </w:lvl>
    <w:lvl w:ilvl="6" w:tplc="10000001" w:tentative="1">
      <w:start w:val="1"/>
      <w:numFmt w:val="bullet"/>
      <w:lvlText w:val=""/>
      <w:lvlJc w:val="left"/>
      <w:pPr>
        <w:ind w:left="4055" w:hanging="360"/>
      </w:pPr>
      <w:rPr>
        <w:rFonts w:ascii="Symbol" w:hAnsi="Symbol" w:hint="default"/>
      </w:rPr>
    </w:lvl>
    <w:lvl w:ilvl="7" w:tplc="10000003" w:tentative="1">
      <w:start w:val="1"/>
      <w:numFmt w:val="bullet"/>
      <w:lvlText w:val="o"/>
      <w:lvlJc w:val="left"/>
      <w:pPr>
        <w:ind w:left="4775" w:hanging="360"/>
      </w:pPr>
      <w:rPr>
        <w:rFonts w:ascii="Courier New" w:hAnsi="Courier New" w:cs="Courier New" w:hint="default"/>
      </w:rPr>
    </w:lvl>
    <w:lvl w:ilvl="8" w:tplc="10000005" w:tentative="1">
      <w:start w:val="1"/>
      <w:numFmt w:val="bullet"/>
      <w:lvlText w:val=""/>
      <w:lvlJc w:val="left"/>
      <w:pPr>
        <w:ind w:left="5495" w:hanging="360"/>
      </w:pPr>
      <w:rPr>
        <w:rFonts w:ascii="Wingdings" w:hAnsi="Wingdings" w:hint="default"/>
      </w:rPr>
    </w:lvl>
  </w:abstractNum>
  <w:abstractNum w:abstractNumId="1" w15:restartNumberingAfterBreak="0">
    <w:nsid w:val="7B7629BB"/>
    <w:multiLevelType w:val="multilevel"/>
    <w:tmpl w:val="611C0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85"/>
    <w:rsid w:val="00041ED5"/>
    <w:rsid w:val="006C3754"/>
    <w:rsid w:val="00863D85"/>
    <w:rsid w:val="00C0225E"/>
    <w:rsid w:val="00D71B9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8084"/>
  <w15:chartTrackingRefBased/>
  <w15:docId w15:val="{447B08F0-E3BC-4FC5-9D16-A05475E4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D85"/>
    <w:pPr>
      <w:bidi/>
      <w:spacing w:after="200" w:line="276" w:lineRule="auto"/>
    </w:pPr>
    <w:rPr>
      <w:rFonts w:ascii="Calibri" w:eastAsia="Calibri"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017408">
      <w:bodyDiv w:val="1"/>
      <w:marLeft w:val="0"/>
      <w:marRight w:val="0"/>
      <w:marTop w:val="0"/>
      <w:marBottom w:val="0"/>
      <w:divBdr>
        <w:top w:val="none" w:sz="0" w:space="0" w:color="auto"/>
        <w:left w:val="none" w:sz="0" w:space="0" w:color="auto"/>
        <w:bottom w:val="none" w:sz="0" w:space="0" w:color="auto"/>
        <w:right w:val="none" w:sz="0" w:space="0" w:color="auto"/>
      </w:divBdr>
    </w:div>
    <w:div w:id="1194071340">
      <w:bodyDiv w:val="1"/>
      <w:marLeft w:val="0"/>
      <w:marRight w:val="0"/>
      <w:marTop w:val="0"/>
      <w:marBottom w:val="0"/>
      <w:divBdr>
        <w:top w:val="none" w:sz="0" w:space="0" w:color="auto"/>
        <w:left w:val="none" w:sz="0" w:space="0" w:color="auto"/>
        <w:bottom w:val="none" w:sz="0" w:space="0" w:color="auto"/>
        <w:right w:val="none" w:sz="0" w:space="0" w:color="auto"/>
      </w:divBdr>
    </w:div>
    <w:div w:id="1485927910">
      <w:bodyDiv w:val="1"/>
      <w:marLeft w:val="0"/>
      <w:marRight w:val="0"/>
      <w:marTop w:val="0"/>
      <w:marBottom w:val="0"/>
      <w:divBdr>
        <w:top w:val="none" w:sz="0" w:space="0" w:color="auto"/>
        <w:left w:val="none" w:sz="0" w:space="0" w:color="auto"/>
        <w:bottom w:val="none" w:sz="0" w:space="0" w:color="auto"/>
        <w:right w:val="none" w:sz="0" w:space="0" w:color="auto"/>
      </w:divBdr>
    </w:div>
    <w:div w:id="198122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234</Words>
  <Characters>1340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הדסה אפרתי</dc:creator>
  <cp:keywords/>
  <dc:description/>
  <cp:lastModifiedBy>הדסה אפרתי</cp:lastModifiedBy>
  <cp:revision>2</cp:revision>
  <dcterms:created xsi:type="dcterms:W3CDTF">2022-11-28T09:40:00Z</dcterms:created>
  <dcterms:modified xsi:type="dcterms:W3CDTF">2022-11-28T10:07:00Z</dcterms:modified>
</cp:coreProperties>
</file>