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F7" w:rsidRDefault="001A486B" w:rsidP="00EA7380">
      <w:pPr>
        <w:bidi/>
        <w:spacing w:after="0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"קהילה</w:t>
      </w:r>
      <w:r w:rsidR="00EA7380">
        <w:rPr>
          <w:rFonts w:ascii="Calibri" w:eastAsia="Calibri" w:hAnsi="Calibri" w:cs="Arial" w:hint="cs"/>
          <w:b/>
          <w:bCs/>
          <w:sz w:val="28"/>
          <w:szCs w:val="28"/>
          <w:rtl/>
        </w:rPr>
        <w:t>, או: על מהות הברית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" </w:t>
      </w:r>
      <w:r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דף לימוד</w:t>
      </w:r>
    </w:p>
    <w:p w:rsidR="001A486B" w:rsidRDefault="001A486B" w:rsidP="00EA7380">
      <w:pPr>
        <w:bidi/>
        <w:spacing w:before="225" w:after="0" w:line="240" w:lineRule="auto"/>
        <w:rPr>
          <w:rFonts w:ascii="David" w:eastAsia="Times New Roman" w:hAnsi="David" w:cs="David"/>
          <w:color w:val="464646"/>
          <w:sz w:val="20"/>
          <w:szCs w:val="20"/>
          <w:shd w:val="clear" w:color="auto" w:fill="FFFFFF"/>
          <w:rtl/>
        </w:rPr>
      </w:pPr>
    </w:p>
    <w:p w:rsidR="00EA7380" w:rsidRPr="00EA7380" w:rsidRDefault="00EA7380" w:rsidP="00EA7380">
      <w:pPr>
        <w:bidi/>
        <w:spacing w:after="0" w:line="360" w:lineRule="auto"/>
        <w:rPr>
          <w:rFonts w:ascii="David" w:eastAsia="Times New Roman" w:hAnsi="David" w:cs="David"/>
          <w:b/>
          <w:bCs/>
          <w:color w:val="464646"/>
          <w:sz w:val="24"/>
          <w:szCs w:val="24"/>
          <w:shd w:val="clear" w:color="auto" w:fill="FAFAFA"/>
          <w:rtl/>
        </w:rPr>
      </w:pPr>
      <w:r w:rsidRPr="00EA7380">
        <w:rPr>
          <w:rFonts w:ascii="David" w:eastAsia="Times New Roman" w:hAnsi="David" w:cs="David" w:hint="cs"/>
          <w:b/>
          <w:bCs/>
          <w:color w:val="464646"/>
          <w:sz w:val="24"/>
          <w:szCs w:val="24"/>
          <w:shd w:val="clear" w:color="auto" w:fill="FAFAFA"/>
          <w:rtl/>
        </w:rPr>
        <w:t>הזהות היהודית כמבוססת על ברית קהילתית</w:t>
      </w:r>
    </w:p>
    <w:p w:rsidR="00EA7380" w:rsidRPr="001A486B" w:rsidRDefault="00EA7380" w:rsidP="00EA7380">
      <w:pPr>
        <w:bidi/>
        <w:spacing w:after="0" w:line="360" w:lineRule="auto"/>
        <w:jc w:val="both"/>
        <w:rPr>
          <w:rFonts w:ascii="David" w:eastAsia="Times New Roman" w:hAnsi="David" w:cs="David"/>
          <w:color w:val="464646"/>
          <w:sz w:val="24"/>
          <w:szCs w:val="24"/>
          <w:shd w:val="clear" w:color="auto" w:fill="FAFAFA"/>
        </w:rPr>
      </w:pPr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AFAFA"/>
        </w:rPr>
        <w:t xml:space="preserve">... </w:t>
      </w:r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AFAFA"/>
          <w:rtl/>
        </w:rPr>
        <w:t>במה מתייחדת חברה המיוסדת על ברית? בקדימה הניתנת לתודעת האחריות ולהתחייבות ההדדית שיש לבני-אדם זה כלפי זה מתוך עצם היותם בני-אדם. ההבדל בין האדם, שנברא בצלם בוראו, לבין בעלי-חיים מתפרש בהקשר זה כהבדל שבין התחברות שמניעה אותה הכרת חובה מוסרית ראשיתית לבין התחברות שמניעים אותה אינסטינקטים או יצרים טבעיים</w:t>
      </w:r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AFAFA"/>
        </w:rPr>
        <w:t>...</w:t>
      </w:r>
    </w:p>
    <w:p w:rsidR="00EA7380" w:rsidRPr="001A486B" w:rsidRDefault="00EA7380" w:rsidP="00EA7380">
      <w:pPr>
        <w:bidi/>
        <w:spacing w:after="0" w:line="360" w:lineRule="auto"/>
        <w:jc w:val="both"/>
        <w:rPr>
          <w:rFonts w:ascii="David" w:eastAsia="Times New Roman" w:hAnsi="David" w:cs="David"/>
          <w:color w:val="464646"/>
          <w:sz w:val="24"/>
          <w:szCs w:val="24"/>
          <w:shd w:val="clear" w:color="auto" w:fill="FAFAFA"/>
        </w:rPr>
      </w:pPr>
      <w:r w:rsidRPr="00EA7380">
        <w:rPr>
          <w:rFonts w:ascii="David" w:eastAsia="Times New Roman" w:hAnsi="David" w:cs="David" w:hint="cs"/>
          <w:color w:val="464646"/>
          <w:sz w:val="24"/>
          <w:szCs w:val="24"/>
          <w:shd w:val="clear" w:color="auto" w:fill="FAFAFA"/>
          <w:rtl/>
        </w:rPr>
        <w:t>(</w:t>
      </w:r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AFAFA"/>
          <w:rtl/>
        </w:rPr>
        <w:t xml:space="preserve">אליעזר </w:t>
      </w:r>
      <w:proofErr w:type="spellStart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AFAFA"/>
          <w:rtl/>
        </w:rPr>
        <w:t>שבייד</w:t>
      </w:r>
      <w:proofErr w:type="spellEnd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AFAFA"/>
          <w:rtl/>
        </w:rPr>
        <w:t xml:space="preserve">, מתוך: חידוש החיים הקהילתיים בישראל , בתוך: מיהדות לציונות, מציונות ליהדות, הוצאת </w:t>
      </w:r>
      <w:proofErr w:type="spellStart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AFAFA"/>
          <w:rtl/>
        </w:rPr>
        <w:t>הספריה</w:t>
      </w:r>
      <w:proofErr w:type="spellEnd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AFAFA"/>
          <w:rtl/>
        </w:rPr>
        <w:t xml:space="preserve"> הציונית, 1984</w:t>
      </w:r>
      <w:r w:rsidRPr="00EA7380">
        <w:rPr>
          <w:rFonts w:ascii="David" w:eastAsia="Times New Roman" w:hAnsi="David" w:cs="David" w:hint="cs"/>
          <w:color w:val="464646"/>
          <w:sz w:val="24"/>
          <w:szCs w:val="24"/>
          <w:shd w:val="clear" w:color="auto" w:fill="FAFAFA"/>
          <w:rtl/>
        </w:rPr>
        <w:t>)</w:t>
      </w:r>
    </w:p>
    <w:p w:rsidR="00EA7380" w:rsidRPr="00EA7380" w:rsidRDefault="00EA7380" w:rsidP="00EA7380">
      <w:pPr>
        <w:bidi/>
        <w:spacing w:after="0" w:line="360" w:lineRule="auto"/>
        <w:rPr>
          <w:rFonts w:ascii="David" w:eastAsia="Times New Roman" w:hAnsi="David" w:cs="David"/>
          <w:color w:val="464646"/>
          <w:sz w:val="24"/>
          <w:szCs w:val="24"/>
          <w:shd w:val="clear" w:color="auto" w:fill="FAFAFA"/>
          <w:rtl/>
        </w:rPr>
      </w:pPr>
    </w:p>
    <w:p w:rsidR="00EA7380" w:rsidRPr="00EA7380" w:rsidRDefault="00EA7380" w:rsidP="00EA7380">
      <w:pPr>
        <w:bidi/>
        <w:spacing w:after="0" w:line="360" w:lineRule="auto"/>
        <w:rPr>
          <w:rFonts w:ascii="David" w:eastAsia="Times New Roman" w:hAnsi="David" w:cs="David"/>
          <w:b/>
          <w:bCs/>
          <w:color w:val="464646"/>
          <w:sz w:val="24"/>
          <w:szCs w:val="24"/>
          <w:shd w:val="clear" w:color="auto" w:fill="FAFAFA"/>
          <w:rtl/>
        </w:rPr>
      </w:pPr>
      <w:r w:rsidRPr="00EA7380">
        <w:rPr>
          <w:rFonts w:ascii="David" w:eastAsia="Times New Roman" w:hAnsi="David" w:cs="David" w:hint="cs"/>
          <w:b/>
          <w:bCs/>
          <w:color w:val="464646"/>
          <w:sz w:val="24"/>
          <w:szCs w:val="24"/>
          <w:shd w:val="clear" w:color="auto" w:fill="FAFAFA"/>
          <w:rtl/>
        </w:rPr>
        <w:t>הקהילה כתנאי לברית</w:t>
      </w:r>
    </w:p>
    <w:p w:rsidR="00EA7380" w:rsidRPr="001A486B" w:rsidRDefault="00EA7380" w:rsidP="00EA7380">
      <w:pPr>
        <w:bidi/>
        <w:spacing w:after="0" w:line="360" w:lineRule="auto"/>
        <w:rPr>
          <w:rFonts w:ascii="David" w:eastAsia="Times New Roman" w:hAnsi="David" w:cs="David"/>
          <w:color w:val="464646"/>
          <w:sz w:val="24"/>
          <w:szCs w:val="24"/>
          <w:shd w:val="clear" w:color="auto" w:fill="FAFAFA"/>
        </w:rPr>
      </w:pPr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AFAFA"/>
          <w:rtl/>
        </w:rPr>
        <w:t>בדמות האדם שבברית [...] מוצב בבירור היהודי היחיד בתוך מסגרת של קהילה. הברית נכרתת עם העם כולו ולא עם היהודים כיחידים; התחום הנרחב הניתן בה להגשמה רוחנית עצמית של היחיד - אינו יכול להתקיים במנותק מתודעה פוליטית, קיבוצית</w:t>
      </w:r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AFAFA"/>
        </w:rPr>
        <w:t>.</w:t>
      </w:r>
    </w:p>
    <w:p w:rsidR="00EA7380" w:rsidRPr="00EA7380" w:rsidRDefault="00EA7380" w:rsidP="00EA7380">
      <w:pPr>
        <w:bidi/>
        <w:spacing w:after="0" w:line="360" w:lineRule="auto"/>
        <w:rPr>
          <w:rFonts w:ascii="David" w:eastAsia="Times New Roman" w:hAnsi="David" w:cs="David"/>
          <w:color w:val="464646"/>
          <w:sz w:val="24"/>
          <w:szCs w:val="24"/>
          <w:shd w:val="clear" w:color="auto" w:fill="FAFAFA"/>
          <w:rtl/>
        </w:rPr>
      </w:pPr>
      <w:r w:rsidRPr="00EA7380">
        <w:rPr>
          <w:rFonts w:ascii="David" w:eastAsia="Times New Roman" w:hAnsi="David" w:cs="David" w:hint="cs"/>
          <w:color w:val="464646"/>
          <w:sz w:val="24"/>
          <w:szCs w:val="24"/>
          <w:shd w:val="clear" w:color="auto" w:fill="FAFAFA"/>
          <w:rtl/>
        </w:rPr>
        <w:t>(</w:t>
      </w:r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AFAFA"/>
          <w:rtl/>
        </w:rPr>
        <w:t>דוד הרטמן בהקדמה לספרו, מסיני לציון: התחדשותה של ברית, (בתרגום נעם זהר), עם עובד 1992, עמ' 16</w:t>
      </w:r>
      <w:r w:rsidRPr="00EA7380">
        <w:rPr>
          <w:rFonts w:ascii="David" w:eastAsia="Times New Roman" w:hAnsi="David" w:cs="David" w:hint="cs"/>
          <w:color w:val="464646"/>
          <w:sz w:val="24"/>
          <w:szCs w:val="24"/>
          <w:shd w:val="clear" w:color="auto" w:fill="FAFAFA"/>
          <w:rtl/>
        </w:rPr>
        <w:t>)</w:t>
      </w:r>
    </w:p>
    <w:p w:rsidR="00EA7380" w:rsidRDefault="00EA7380" w:rsidP="00EA7380">
      <w:pPr>
        <w:bidi/>
        <w:spacing w:after="0" w:line="360" w:lineRule="auto"/>
        <w:rPr>
          <w:rFonts w:ascii="David" w:hAnsi="David" w:cs="David"/>
          <w:color w:val="464646"/>
          <w:sz w:val="24"/>
          <w:szCs w:val="24"/>
          <w:shd w:val="clear" w:color="auto" w:fill="FAFAFA"/>
          <w:rtl/>
        </w:rPr>
      </w:pPr>
    </w:p>
    <w:p w:rsidR="00EA7380" w:rsidRPr="00EA7380" w:rsidRDefault="00EA7380" w:rsidP="00EA7380">
      <w:pPr>
        <w:bidi/>
        <w:spacing w:after="0" w:line="360" w:lineRule="auto"/>
        <w:rPr>
          <w:rFonts w:ascii="David" w:hAnsi="David" w:cs="David"/>
          <w:b/>
          <w:bCs/>
          <w:color w:val="464646"/>
          <w:sz w:val="24"/>
          <w:szCs w:val="24"/>
          <w:shd w:val="clear" w:color="auto" w:fill="FAFAFA"/>
          <w:rtl/>
        </w:rPr>
      </w:pPr>
      <w:r w:rsidRPr="00EA7380">
        <w:rPr>
          <w:rFonts w:ascii="David" w:hAnsi="David" w:cs="David" w:hint="cs"/>
          <w:b/>
          <w:bCs/>
          <w:color w:val="464646"/>
          <w:sz w:val="24"/>
          <w:szCs w:val="24"/>
          <w:shd w:val="clear" w:color="auto" w:fill="FAFAFA"/>
          <w:rtl/>
        </w:rPr>
        <w:t>הברית כהיסטוריה</w:t>
      </w:r>
    </w:p>
    <w:p w:rsidR="00EA7380" w:rsidRPr="00EA7380" w:rsidRDefault="00EA7380" w:rsidP="00EA7380">
      <w:pPr>
        <w:bidi/>
        <w:spacing w:after="0" w:line="360" w:lineRule="auto"/>
        <w:rPr>
          <w:rFonts w:ascii="David" w:hAnsi="David" w:cs="David"/>
          <w:color w:val="464646"/>
          <w:sz w:val="24"/>
          <w:szCs w:val="24"/>
          <w:shd w:val="clear" w:color="auto" w:fill="FAFAFA"/>
          <w:rtl/>
        </w:rPr>
      </w:pPr>
      <w:r w:rsidRPr="00EA7380">
        <w:rPr>
          <w:rFonts w:ascii="David" w:hAnsi="David" w:cs="David"/>
          <w:color w:val="464646"/>
          <w:sz w:val="24"/>
          <w:szCs w:val="24"/>
          <w:shd w:val="clear" w:color="auto" w:fill="FAFAFA"/>
          <w:rtl/>
        </w:rPr>
        <w:t xml:space="preserve">בר אחד משותף לכל העם היושב בציון (חוץ ממעטים מועטים), והוא: אין אנו מנתקים את עצמנו מן העבר ההיסטורי, ואין אנו מתכחשים למורשת אבות. שונים הצינורות, שונות המסקנות, אך אין אנו סותמים את הבארות [...] כזה וכזה הוא מטענו הלאומי של יהודי בישראל - בין אם הוא דתי, בין אם הוא לא דתי, ובין אם הוא אנטי דתי, אם יאבה ואם ימאן, קשור הוא בטבורו אל ההיסטוריה היהודית: ממנה הוא שואב את שפתו וניביה </w:t>
      </w:r>
    </w:p>
    <w:p w:rsidR="00EA7380" w:rsidRPr="00EA7380" w:rsidRDefault="00EA7380" w:rsidP="00EA7380">
      <w:pPr>
        <w:bidi/>
        <w:spacing w:after="0" w:line="360" w:lineRule="auto"/>
        <w:rPr>
          <w:rFonts w:ascii="David" w:eastAsia="Calibri" w:hAnsi="David" w:cs="David"/>
          <w:b/>
          <w:bCs/>
          <w:sz w:val="24"/>
          <w:szCs w:val="24"/>
        </w:rPr>
      </w:pPr>
      <w:r w:rsidRPr="00EA7380">
        <w:rPr>
          <w:rFonts w:ascii="David" w:hAnsi="David" w:cs="David"/>
          <w:color w:val="464646"/>
          <w:sz w:val="24"/>
          <w:szCs w:val="24"/>
          <w:shd w:val="clear" w:color="auto" w:fill="FAFAFA"/>
          <w:rtl/>
        </w:rPr>
        <w:t xml:space="preserve">(השופט </w:t>
      </w:r>
      <w:proofErr w:type="spellStart"/>
      <w:r w:rsidRPr="00EA7380">
        <w:rPr>
          <w:rFonts w:ascii="David" w:hAnsi="David" w:cs="David"/>
          <w:color w:val="464646"/>
          <w:sz w:val="24"/>
          <w:szCs w:val="24"/>
          <w:shd w:val="clear" w:color="auto" w:fill="FAFAFA"/>
          <w:rtl/>
        </w:rPr>
        <w:t>זילברג</w:t>
      </w:r>
      <w:proofErr w:type="spellEnd"/>
      <w:r w:rsidRPr="00EA7380">
        <w:rPr>
          <w:rFonts w:ascii="David" w:hAnsi="David" w:cs="David"/>
          <w:color w:val="464646"/>
          <w:sz w:val="24"/>
          <w:szCs w:val="24"/>
          <w:shd w:val="clear" w:color="auto" w:fill="FAFAFA"/>
          <w:rtl/>
        </w:rPr>
        <w:t xml:space="preserve">, מקרה האח דניאל: </w:t>
      </w:r>
      <w:proofErr w:type="spellStart"/>
      <w:r w:rsidRPr="00EA7380">
        <w:rPr>
          <w:rFonts w:ascii="David" w:hAnsi="David" w:cs="David"/>
          <w:color w:val="464646"/>
          <w:sz w:val="24"/>
          <w:szCs w:val="24"/>
          <w:shd w:val="clear" w:color="auto" w:fill="FAFAFA"/>
          <w:rtl/>
        </w:rPr>
        <w:t>אוסוולד</w:t>
      </w:r>
      <w:proofErr w:type="spellEnd"/>
      <w:r w:rsidRPr="00EA7380">
        <w:rPr>
          <w:rFonts w:ascii="David" w:hAnsi="David" w:cs="David"/>
          <w:color w:val="464646"/>
          <w:sz w:val="24"/>
          <w:szCs w:val="24"/>
          <w:shd w:val="clear" w:color="auto" w:fill="FAFAFA"/>
          <w:rtl/>
        </w:rPr>
        <w:t xml:space="preserve"> </w:t>
      </w:r>
      <w:proofErr w:type="spellStart"/>
      <w:r w:rsidRPr="00EA7380">
        <w:rPr>
          <w:rFonts w:ascii="David" w:hAnsi="David" w:cs="David"/>
          <w:color w:val="464646"/>
          <w:sz w:val="24"/>
          <w:szCs w:val="24"/>
          <w:shd w:val="clear" w:color="auto" w:fill="FAFAFA"/>
          <w:rtl/>
        </w:rPr>
        <w:t>רופאיזן</w:t>
      </w:r>
      <w:proofErr w:type="spellEnd"/>
      <w:r w:rsidRPr="00EA7380">
        <w:rPr>
          <w:rFonts w:ascii="David" w:hAnsi="David" w:cs="David"/>
          <w:color w:val="464646"/>
          <w:sz w:val="24"/>
          <w:szCs w:val="24"/>
          <w:shd w:val="clear" w:color="auto" w:fill="FAFAFA"/>
          <w:rtl/>
        </w:rPr>
        <w:t xml:space="preserve"> נגד שר הפנים, בג"ץ 14.3.1962)</w:t>
      </w:r>
    </w:p>
    <w:p w:rsidR="00EA7380" w:rsidRDefault="00EA7380" w:rsidP="00EA7380">
      <w:pPr>
        <w:bidi/>
        <w:spacing w:before="225" w:after="0" w:line="360" w:lineRule="auto"/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</w:pPr>
    </w:p>
    <w:p w:rsidR="00EA7380" w:rsidRDefault="00EA7380" w:rsidP="00EA7380">
      <w:pPr>
        <w:bidi/>
        <w:spacing w:before="225" w:after="0" w:line="360" w:lineRule="auto"/>
        <w:rPr>
          <w:rFonts w:ascii="David" w:eastAsia="Times New Roman" w:hAnsi="David" w:cs="David"/>
          <w:b/>
          <w:bCs/>
          <w:color w:val="464646"/>
          <w:sz w:val="24"/>
          <w:szCs w:val="24"/>
          <w:shd w:val="clear" w:color="auto" w:fill="FFFFFF"/>
          <w:rtl/>
        </w:rPr>
      </w:pPr>
      <w:r>
        <w:rPr>
          <w:rFonts w:ascii="David" w:eastAsia="Times New Roman" w:hAnsi="David" w:cs="David" w:hint="cs"/>
          <w:b/>
          <w:bCs/>
          <w:color w:val="464646"/>
          <w:sz w:val="24"/>
          <w:szCs w:val="24"/>
          <w:shd w:val="clear" w:color="auto" w:fill="FFFFFF"/>
          <w:rtl/>
        </w:rPr>
        <w:t>הצד השני על המטבע...</w:t>
      </w:r>
    </w:p>
    <w:p w:rsidR="001A486B" w:rsidRPr="001A486B" w:rsidRDefault="001A486B" w:rsidP="00EA7380">
      <w:pPr>
        <w:bidi/>
        <w:spacing w:before="225" w:after="0" w:line="360" w:lineRule="auto"/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</w:rPr>
      </w:pPr>
      <w:bookmarkStart w:id="0" w:name="_GoBack"/>
      <w:bookmarkEnd w:id="0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 xml:space="preserve">תני חזקיה: "שֶׂה פְזוּרָה יִשְׂרָאֵל" (ירמיה נ, </w:t>
      </w:r>
      <w:proofErr w:type="spellStart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>יז</w:t>
      </w:r>
      <w:proofErr w:type="spellEnd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 xml:space="preserve">) - נמשלו ישראל לשֶׂה. מה שֶׂה הזה לוקה על ראשו או באחד מאבריו, וכל אבריו </w:t>
      </w:r>
      <w:proofErr w:type="spellStart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>מרגישין</w:t>
      </w:r>
      <w:proofErr w:type="spellEnd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 xml:space="preserve">, כך הן ישראל, אחד מהן חוטא וכולן </w:t>
      </w:r>
      <w:proofErr w:type="spellStart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>מרגישין</w:t>
      </w:r>
      <w:proofErr w:type="spellEnd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 xml:space="preserve">: "וַיִּפְּלוּ עַל פְּנֵיהֶם וַיֹּאמְרוּ: אֵל </w:t>
      </w:r>
      <w:proofErr w:type="spellStart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>אֱלֹהֵי</w:t>
      </w:r>
      <w:proofErr w:type="spellEnd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>הָרוּחֹת</w:t>
      </w:r>
      <w:proofErr w:type="spellEnd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 xml:space="preserve"> לְכָל בָּשָׂר, הָאִישׁ אֶחָד יֶחֱטָא וְעַל כָּל הָעֵדָה </w:t>
      </w:r>
      <w:proofErr w:type="spellStart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>תִּקְצֹף</w:t>
      </w:r>
      <w:proofErr w:type="spellEnd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 xml:space="preserve">?!" (במדבר </w:t>
      </w:r>
      <w:proofErr w:type="spellStart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>טז</w:t>
      </w:r>
      <w:proofErr w:type="spellEnd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 xml:space="preserve">, </w:t>
      </w:r>
      <w:proofErr w:type="spellStart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>כב</w:t>
      </w:r>
      <w:proofErr w:type="spellEnd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>)</w:t>
      </w:r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</w:rPr>
        <w:t>.</w:t>
      </w:r>
    </w:p>
    <w:p w:rsidR="001A486B" w:rsidRPr="001A486B" w:rsidRDefault="001A486B" w:rsidP="00EA7380">
      <w:pPr>
        <w:bidi/>
        <w:spacing w:before="225" w:after="0" w:line="360" w:lineRule="auto"/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</w:rPr>
      </w:pPr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 xml:space="preserve">תני רבי שמעון בר יוחאי: משל לבני אדם שהיו </w:t>
      </w:r>
      <w:proofErr w:type="spellStart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>יושבין</w:t>
      </w:r>
      <w:proofErr w:type="spellEnd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 xml:space="preserve"> בספינה. נטל אחד מהן מקדח והתחיל קודח תחתיו. אמרו לו חבריו: מה אתה יושב ועושה? אמר להם: מה אכפת לכם, לא תחתָי אני קודח? אמרו לו: שהמים </w:t>
      </w:r>
      <w:proofErr w:type="spellStart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>עולין</w:t>
      </w:r>
      <w:proofErr w:type="spellEnd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>ומציפין</w:t>
      </w:r>
      <w:proofErr w:type="spellEnd"/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 xml:space="preserve"> עלינו את הספינה</w:t>
      </w:r>
      <w:r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</w:rPr>
        <w:t>.</w:t>
      </w:r>
    </w:p>
    <w:p w:rsidR="00EA7380" w:rsidRPr="00EA7380" w:rsidRDefault="00EA7380" w:rsidP="00EA7380">
      <w:pPr>
        <w:bidi/>
        <w:spacing w:after="0" w:line="360" w:lineRule="auto"/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</w:rPr>
      </w:pPr>
      <w:r w:rsidRPr="00EA7380">
        <w:rPr>
          <w:rFonts w:ascii="David" w:eastAsia="Times New Roman" w:hAnsi="David" w:cs="David" w:hint="cs"/>
          <w:color w:val="464646"/>
          <w:sz w:val="24"/>
          <w:szCs w:val="24"/>
          <w:shd w:val="clear" w:color="auto" w:fill="FFFFFF"/>
          <w:rtl/>
        </w:rPr>
        <w:t>(</w:t>
      </w:r>
      <w:r w:rsidR="001A486B" w:rsidRPr="001A486B">
        <w:rPr>
          <w:rFonts w:ascii="David" w:eastAsia="Times New Roman" w:hAnsi="David" w:cs="David"/>
          <w:color w:val="464646"/>
          <w:sz w:val="24"/>
          <w:szCs w:val="24"/>
          <w:shd w:val="clear" w:color="auto" w:fill="FFFFFF"/>
          <w:rtl/>
        </w:rPr>
        <w:t>מדרש ויקרא רבה, פרק ד סימן ו</w:t>
      </w:r>
      <w:r w:rsidRPr="00EA7380">
        <w:rPr>
          <w:rFonts w:ascii="David" w:eastAsia="Times New Roman" w:hAnsi="David" w:cs="David" w:hint="cs"/>
          <w:color w:val="464646"/>
          <w:sz w:val="24"/>
          <w:szCs w:val="24"/>
          <w:shd w:val="clear" w:color="auto" w:fill="FFFFFF"/>
          <w:rtl/>
        </w:rPr>
        <w:t>)</w:t>
      </w:r>
    </w:p>
    <w:sectPr w:rsidR="00EA7380" w:rsidRPr="00EA7380" w:rsidSect="0000648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2" w:right="1191" w:bottom="1440" w:left="1191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47" w:rsidRDefault="00D40847">
      <w:pPr>
        <w:spacing w:after="0" w:line="240" w:lineRule="auto"/>
      </w:pPr>
      <w:r>
        <w:separator/>
      </w:r>
    </w:p>
  </w:endnote>
  <w:endnote w:type="continuationSeparator" w:id="0">
    <w:p w:rsidR="00D40847" w:rsidRDefault="00D4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239" w:rsidRDefault="009C5DF7" w:rsidP="00A72821">
    <w:pPr>
      <w:pStyle w:val="a3"/>
      <w:framePr w:wrap="around" w:vAnchor="text" w:hAnchor="text" w:xAlign="inside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5E6239" w:rsidRDefault="00D40847" w:rsidP="00A7282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239" w:rsidRDefault="009C5DF7" w:rsidP="00A72821">
    <w:pPr>
      <w:pStyle w:val="a3"/>
      <w:framePr w:wrap="around" w:vAnchor="text" w:hAnchor="text" w:xAlign="inside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EA7380">
      <w:rPr>
        <w:rStyle w:val="a7"/>
        <w:noProof/>
      </w:rPr>
      <w:t>2</w:t>
    </w:r>
    <w:r>
      <w:rPr>
        <w:rStyle w:val="a7"/>
        <w:rtl/>
      </w:rPr>
      <w:fldChar w:fldCharType="end"/>
    </w:r>
  </w:p>
  <w:p w:rsidR="005E6239" w:rsidRDefault="00D40847" w:rsidP="00A7282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47" w:rsidRDefault="00D40847">
      <w:pPr>
        <w:spacing w:after="0" w:line="240" w:lineRule="auto"/>
      </w:pPr>
      <w:r>
        <w:separator/>
      </w:r>
    </w:p>
  </w:footnote>
  <w:footnote w:type="continuationSeparator" w:id="0">
    <w:p w:rsidR="00D40847" w:rsidRDefault="00D4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F72" w:rsidRDefault="009C5DF7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1382395</wp:posOffset>
          </wp:positionH>
          <wp:positionV relativeFrom="paragraph">
            <wp:posOffset>-162560</wp:posOffset>
          </wp:positionV>
          <wp:extent cx="4928870" cy="686435"/>
          <wp:effectExtent l="0" t="0" r="5080" b="0"/>
          <wp:wrapNone/>
          <wp:docPr id="2" name="Picture 2" descr="letterhead_h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_h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887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6C" w:rsidRPr="00173848" w:rsidRDefault="009C5DF7" w:rsidP="00173848">
    <w:pPr>
      <w:pStyle w:val="a5"/>
      <w:jc w:val="center"/>
      <w:rPr>
        <w:rtl/>
      </w:rPr>
    </w:pPr>
    <w:r>
      <w:rPr>
        <w:noProof/>
      </w:rPr>
      <w:drawing>
        <wp:inline distT="0" distB="0" distL="0" distR="0">
          <wp:extent cx="2257425" cy="1128713"/>
          <wp:effectExtent l="0" t="0" r="0" b="0"/>
          <wp:docPr id="1" name="Picture 1" descr="Logo_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912" cy="1132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79D6"/>
    <w:multiLevelType w:val="hybridMultilevel"/>
    <w:tmpl w:val="D2F2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0238"/>
    <w:multiLevelType w:val="hybridMultilevel"/>
    <w:tmpl w:val="E3DC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04ABF"/>
    <w:multiLevelType w:val="hybridMultilevel"/>
    <w:tmpl w:val="C71AC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03A40"/>
    <w:multiLevelType w:val="hybridMultilevel"/>
    <w:tmpl w:val="C2FE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D10B3"/>
    <w:multiLevelType w:val="hybridMultilevel"/>
    <w:tmpl w:val="D75C795E"/>
    <w:lvl w:ilvl="0" w:tplc="F050E51A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4598E"/>
    <w:multiLevelType w:val="hybridMultilevel"/>
    <w:tmpl w:val="8D52FFEA"/>
    <w:lvl w:ilvl="0" w:tplc="32D8EF0E">
      <w:start w:val="13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A0A83"/>
    <w:multiLevelType w:val="hybridMultilevel"/>
    <w:tmpl w:val="07386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25534"/>
    <w:multiLevelType w:val="hybridMultilevel"/>
    <w:tmpl w:val="5CA82690"/>
    <w:lvl w:ilvl="0" w:tplc="D9820B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C3712"/>
    <w:multiLevelType w:val="hybridMultilevel"/>
    <w:tmpl w:val="DA12826E"/>
    <w:lvl w:ilvl="0" w:tplc="6F1E433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00D10"/>
    <w:multiLevelType w:val="hybridMultilevel"/>
    <w:tmpl w:val="986E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C6B36"/>
    <w:multiLevelType w:val="hybridMultilevel"/>
    <w:tmpl w:val="AF84DD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239F8"/>
    <w:multiLevelType w:val="hybridMultilevel"/>
    <w:tmpl w:val="838AD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10"/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F7"/>
    <w:rsid w:val="000311C0"/>
    <w:rsid w:val="00040494"/>
    <w:rsid w:val="000404F8"/>
    <w:rsid w:val="000575DC"/>
    <w:rsid w:val="00073789"/>
    <w:rsid w:val="000B71C9"/>
    <w:rsid w:val="000D58AE"/>
    <w:rsid w:val="00116AC4"/>
    <w:rsid w:val="001A486B"/>
    <w:rsid w:val="001A7093"/>
    <w:rsid w:val="001D13AB"/>
    <w:rsid w:val="001D51A5"/>
    <w:rsid w:val="001D7172"/>
    <w:rsid w:val="001E25B2"/>
    <w:rsid w:val="00216BFB"/>
    <w:rsid w:val="00243DAE"/>
    <w:rsid w:val="00265663"/>
    <w:rsid w:val="00286545"/>
    <w:rsid w:val="00295902"/>
    <w:rsid w:val="002A00DE"/>
    <w:rsid w:val="002A7B2D"/>
    <w:rsid w:val="0032086F"/>
    <w:rsid w:val="00394623"/>
    <w:rsid w:val="003B78C0"/>
    <w:rsid w:val="00406B31"/>
    <w:rsid w:val="0040770F"/>
    <w:rsid w:val="004170A5"/>
    <w:rsid w:val="004241EF"/>
    <w:rsid w:val="00436FDC"/>
    <w:rsid w:val="00451817"/>
    <w:rsid w:val="00452E79"/>
    <w:rsid w:val="004539A2"/>
    <w:rsid w:val="004A0976"/>
    <w:rsid w:val="00521CB6"/>
    <w:rsid w:val="0052674F"/>
    <w:rsid w:val="00583562"/>
    <w:rsid w:val="005A35D7"/>
    <w:rsid w:val="005C5DF1"/>
    <w:rsid w:val="005E25EB"/>
    <w:rsid w:val="005E4AA4"/>
    <w:rsid w:val="00610852"/>
    <w:rsid w:val="00617749"/>
    <w:rsid w:val="00632A76"/>
    <w:rsid w:val="00636B88"/>
    <w:rsid w:val="00672E69"/>
    <w:rsid w:val="006847B6"/>
    <w:rsid w:val="006A48F6"/>
    <w:rsid w:val="006C6B52"/>
    <w:rsid w:val="006F73FF"/>
    <w:rsid w:val="007526B4"/>
    <w:rsid w:val="007773F6"/>
    <w:rsid w:val="00796BAD"/>
    <w:rsid w:val="00832EDC"/>
    <w:rsid w:val="00845E6E"/>
    <w:rsid w:val="008462C7"/>
    <w:rsid w:val="00851DAA"/>
    <w:rsid w:val="00891BD1"/>
    <w:rsid w:val="008A585A"/>
    <w:rsid w:val="00910759"/>
    <w:rsid w:val="00927821"/>
    <w:rsid w:val="00930FEB"/>
    <w:rsid w:val="009579EB"/>
    <w:rsid w:val="00960D1E"/>
    <w:rsid w:val="00990624"/>
    <w:rsid w:val="00992F38"/>
    <w:rsid w:val="00996FBA"/>
    <w:rsid w:val="009C35F6"/>
    <w:rsid w:val="009C5DF7"/>
    <w:rsid w:val="009E5E13"/>
    <w:rsid w:val="009F26BC"/>
    <w:rsid w:val="00A65597"/>
    <w:rsid w:val="00AA1F7A"/>
    <w:rsid w:val="00AA5508"/>
    <w:rsid w:val="00AE1DCC"/>
    <w:rsid w:val="00AE46E5"/>
    <w:rsid w:val="00B048CF"/>
    <w:rsid w:val="00B252C5"/>
    <w:rsid w:val="00B33272"/>
    <w:rsid w:val="00B63300"/>
    <w:rsid w:val="00BB47B7"/>
    <w:rsid w:val="00BC5216"/>
    <w:rsid w:val="00BD66E7"/>
    <w:rsid w:val="00C0363F"/>
    <w:rsid w:val="00C16830"/>
    <w:rsid w:val="00C468A8"/>
    <w:rsid w:val="00C5007C"/>
    <w:rsid w:val="00C60622"/>
    <w:rsid w:val="00C838E9"/>
    <w:rsid w:val="00CF5309"/>
    <w:rsid w:val="00D06176"/>
    <w:rsid w:val="00D1248D"/>
    <w:rsid w:val="00D40847"/>
    <w:rsid w:val="00D6393D"/>
    <w:rsid w:val="00D75758"/>
    <w:rsid w:val="00DB5770"/>
    <w:rsid w:val="00DD2EC4"/>
    <w:rsid w:val="00E03A6B"/>
    <w:rsid w:val="00E12364"/>
    <w:rsid w:val="00E669B6"/>
    <w:rsid w:val="00EA7380"/>
    <w:rsid w:val="00EE2780"/>
    <w:rsid w:val="00EF068A"/>
    <w:rsid w:val="00F20DEB"/>
    <w:rsid w:val="00F32DB7"/>
    <w:rsid w:val="00F34F1D"/>
    <w:rsid w:val="00F42322"/>
    <w:rsid w:val="00F435C6"/>
    <w:rsid w:val="00F9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85A1D"/>
  <w15:docId w15:val="{631D63F1-0341-4663-920E-60832B8B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5D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תחתונה תו"/>
    <w:basedOn w:val="a0"/>
    <w:link w:val="a3"/>
    <w:uiPriority w:val="99"/>
    <w:rsid w:val="009C5DF7"/>
  </w:style>
  <w:style w:type="paragraph" w:styleId="a5">
    <w:name w:val="header"/>
    <w:basedOn w:val="a"/>
    <w:link w:val="a6"/>
    <w:uiPriority w:val="99"/>
    <w:unhideWhenUsed/>
    <w:rsid w:val="009C5D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C5DF7"/>
  </w:style>
  <w:style w:type="character" w:styleId="a7">
    <w:name w:val="page number"/>
    <w:basedOn w:val="a0"/>
    <w:rsid w:val="009C5DF7"/>
  </w:style>
  <w:style w:type="paragraph" w:styleId="a8">
    <w:name w:val="Balloon Text"/>
    <w:basedOn w:val="a"/>
    <w:link w:val="a9"/>
    <w:uiPriority w:val="99"/>
    <w:semiHidden/>
    <w:unhideWhenUsed/>
    <w:rsid w:val="009C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C5D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6545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1A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6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76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B2CD7-FB81-4A88-83A5-E097C885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rosenberg</dc:creator>
  <cp:lastModifiedBy>Asaf Gamzou</cp:lastModifiedBy>
  <cp:revision>3</cp:revision>
  <cp:lastPrinted>2018-01-08T08:07:00Z</cp:lastPrinted>
  <dcterms:created xsi:type="dcterms:W3CDTF">2018-02-24T20:05:00Z</dcterms:created>
  <dcterms:modified xsi:type="dcterms:W3CDTF">2018-02-24T20:26:00Z</dcterms:modified>
</cp:coreProperties>
</file>