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2441A" w14:textId="77777777" w:rsidR="007F107B" w:rsidRDefault="007F107B" w:rsidP="004D1925">
      <w:pPr>
        <w:bidi/>
        <w:spacing w:line="360" w:lineRule="auto"/>
        <w:ind w:leftChars="0" w:left="3" w:hanging="3"/>
        <w:contextualSpacing/>
        <w:jc w:val="both"/>
        <w:rPr>
          <w:rFonts w:ascii="David" w:eastAsia="David" w:hAnsi="David" w:cs="David"/>
          <w:bCs/>
          <w:color w:val="000000"/>
          <w:sz w:val="28"/>
          <w:szCs w:val="28"/>
          <w:u w:val="single"/>
          <w:rtl/>
          <w:lang w:bidi="he-IL"/>
        </w:rPr>
      </w:pPr>
    </w:p>
    <w:p w14:paraId="7E3B9A8B" w14:textId="77777777" w:rsidR="007F107B" w:rsidRPr="005D785B" w:rsidRDefault="007F107B" w:rsidP="004D1925">
      <w:pPr>
        <w:bidi/>
        <w:spacing w:line="360" w:lineRule="auto"/>
        <w:ind w:leftChars="0" w:left="3" w:hanging="3"/>
        <w:contextualSpacing/>
        <w:jc w:val="both"/>
        <w:rPr>
          <w:rFonts w:ascii="David" w:eastAsia="David" w:hAnsi="David" w:cs="David"/>
          <w:bCs/>
          <w:color w:val="000000"/>
          <w:sz w:val="28"/>
          <w:szCs w:val="28"/>
          <w:u w:val="single"/>
          <w:lang w:bidi="he-IL"/>
        </w:rPr>
      </w:pPr>
      <w:r w:rsidRPr="005D785B">
        <w:rPr>
          <w:rFonts w:ascii="David" w:eastAsia="David" w:hAnsi="David" w:cs="David" w:hint="cs"/>
          <w:bCs/>
          <w:color w:val="000000"/>
          <w:sz w:val="28"/>
          <w:szCs w:val="28"/>
          <w:u w:val="single"/>
          <w:rtl/>
          <w:lang w:bidi="he-IL"/>
        </w:rPr>
        <w:t>סיור בעקבות ששת נכסי העמיות</w:t>
      </w:r>
    </w:p>
    <w:p w14:paraId="4FA4C580" w14:textId="77777777" w:rsidR="007F107B" w:rsidRPr="00A9472D" w:rsidRDefault="007F107B" w:rsidP="004D1925">
      <w:pPr>
        <w:bidi/>
        <w:spacing w:line="360" w:lineRule="auto"/>
        <w:ind w:leftChars="0" w:left="2" w:hanging="2"/>
        <w:contextualSpacing/>
        <w:jc w:val="both"/>
        <w:rPr>
          <w:rFonts w:ascii="David" w:eastAsia="David" w:hAnsi="David" w:cs="David"/>
          <w:color w:val="000000"/>
        </w:rPr>
      </w:pPr>
    </w:p>
    <w:p w14:paraId="7F3994D7" w14:textId="77777777" w:rsidR="007F107B" w:rsidRPr="00A9472D" w:rsidRDefault="007F107B" w:rsidP="004D1925">
      <w:pPr>
        <w:bidi/>
        <w:spacing w:line="360" w:lineRule="auto"/>
        <w:ind w:leftChars="0" w:left="2" w:hanging="2"/>
        <w:contextualSpacing/>
        <w:jc w:val="both"/>
        <w:rPr>
          <w:rFonts w:ascii="David" w:eastAsia="David" w:hAnsi="David" w:cs="David"/>
          <w:color w:val="000000"/>
          <w:lang w:bidi="he-IL"/>
        </w:rPr>
      </w:pPr>
      <w:bookmarkStart w:id="0" w:name="_GoBack"/>
      <w:r w:rsidRPr="00A9472D">
        <w:rPr>
          <w:rFonts w:ascii="David" w:eastAsia="David" w:hAnsi="David" w:cs="David"/>
          <w:bCs/>
          <w:color w:val="000000"/>
          <w:rtl/>
          <w:lang w:bidi="he-IL"/>
        </w:rPr>
        <w:t>משך הסיור</w:t>
      </w:r>
      <w:r w:rsidRPr="00A9472D">
        <w:rPr>
          <w:rFonts w:ascii="David" w:eastAsia="David" w:hAnsi="David" w:cs="David"/>
          <w:b/>
          <w:color w:val="000000"/>
          <w:rtl/>
          <w:lang w:bidi="he-IL"/>
        </w:rPr>
        <w:t>:</w:t>
      </w:r>
      <w:r w:rsidRPr="00A9472D">
        <w:rPr>
          <w:rFonts w:ascii="David" w:eastAsia="David" w:hAnsi="David" w:cs="David"/>
          <w:b/>
          <w:color w:val="000000"/>
          <w:rtl/>
        </w:rPr>
        <w:t xml:space="preserve"> </w:t>
      </w:r>
      <w:r w:rsidRPr="00A9472D">
        <w:rPr>
          <w:rFonts w:ascii="David" w:eastAsia="David" w:hAnsi="David" w:cs="David"/>
          <w:b/>
          <w:color w:val="000000"/>
          <w:rtl/>
          <w:lang w:bidi="he-IL"/>
        </w:rPr>
        <w:t>90 דקות</w:t>
      </w:r>
    </w:p>
    <w:p w14:paraId="5F0FF809" w14:textId="77777777" w:rsidR="007F107B" w:rsidRPr="00A9472D" w:rsidRDefault="007F107B" w:rsidP="004D1925">
      <w:pPr>
        <w:bidi/>
        <w:spacing w:line="360" w:lineRule="auto"/>
        <w:ind w:leftChars="0" w:left="2" w:hanging="2"/>
        <w:contextualSpacing/>
        <w:jc w:val="both"/>
        <w:rPr>
          <w:rFonts w:ascii="David" w:eastAsia="David" w:hAnsi="David" w:cs="David"/>
          <w:color w:val="000000"/>
        </w:rPr>
      </w:pPr>
    </w:p>
    <w:p w14:paraId="02AB5BE6" w14:textId="5A93AC1B" w:rsidR="007F107B" w:rsidRDefault="007F107B" w:rsidP="00EB20F9">
      <w:pPr>
        <w:bidi/>
        <w:spacing w:line="360" w:lineRule="auto"/>
        <w:ind w:leftChars="0" w:left="2" w:hanging="2"/>
        <w:contextualSpacing/>
        <w:jc w:val="both"/>
        <w:rPr>
          <w:rFonts w:ascii="David" w:eastAsia="David" w:hAnsi="David" w:cs="David"/>
          <w:color w:val="000000"/>
          <w:rtl/>
          <w:lang w:bidi="he-IL"/>
        </w:rPr>
      </w:pPr>
      <w:r w:rsidRPr="00A9472D">
        <w:rPr>
          <w:rFonts w:ascii="David" w:eastAsia="David" w:hAnsi="David" w:cs="David"/>
          <w:bCs/>
          <w:color w:val="000000"/>
          <w:rtl/>
          <w:lang w:bidi="he-IL"/>
        </w:rPr>
        <w:t>הסיור</w:t>
      </w:r>
      <w:r w:rsidRPr="00A9472D">
        <w:rPr>
          <w:rFonts w:ascii="David" w:eastAsia="David" w:hAnsi="David" w:cs="David"/>
          <w:bCs/>
          <w:color w:val="000000"/>
          <w:rtl/>
        </w:rPr>
        <w:t xml:space="preserve"> </w:t>
      </w:r>
      <w:r w:rsidRPr="00A9472D">
        <w:rPr>
          <w:rFonts w:ascii="David" w:eastAsia="David" w:hAnsi="David" w:cs="David" w:hint="cs"/>
          <w:bCs/>
          <w:color w:val="000000"/>
          <w:rtl/>
          <w:lang w:bidi="he-IL"/>
        </w:rPr>
        <w:t>בפסקה</w:t>
      </w:r>
      <w:r w:rsidRPr="00A9472D">
        <w:rPr>
          <w:rFonts w:ascii="David" w:eastAsia="David" w:hAnsi="David" w:cs="David"/>
          <w:bCs/>
          <w:color w:val="000000"/>
        </w:rPr>
        <w:t>:</w:t>
      </w:r>
      <w:r w:rsidRPr="00A9472D">
        <w:rPr>
          <w:rFonts w:ascii="David" w:eastAsia="David" w:hAnsi="David" w:cs="David"/>
          <w:color w:val="000000"/>
        </w:rPr>
        <w:t xml:space="preserve"> </w:t>
      </w:r>
      <w:r w:rsidRPr="00A9472D">
        <w:rPr>
          <w:rFonts w:ascii="David" w:eastAsia="David" w:hAnsi="David" w:cs="David"/>
          <w:color w:val="000000"/>
          <w:rtl/>
          <w:lang w:bidi="he-IL"/>
        </w:rPr>
        <w:t xml:space="preserve"> </w:t>
      </w:r>
      <w:r w:rsidRPr="00A9472D">
        <w:rPr>
          <w:rFonts w:ascii="David" w:eastAsia="David" w:hAnsi="David" w:cs="David" w:hint="cs"/>
          <w:color w:val="000000"/>
          <w:rtl/>
          <w:lang w:bidi="he-IL"/>
        </w:rPr>
        <w:t>מתוקף חוק בית התפוצות, במהלך שנות תכנונו וקל וחומר מאז פתיחתו, הגדיר לעצמו 'אנו-מוזיאון העם היהודי' את המשימה השאפתנית לספר את סיפורו הייחודי והמתמשך של העם היהודי. סיור זה מתייחס למוזיאון 'אנו' כמקרה בוחן לאופן בו נושא העמיות, על ששת נכסיו, מתגלם בעולם היהודי של ימינו באופן ויזואלי. במהלך הסיור מוזמנות/ים המשתתפות/ים לברר כיצד מבטא המוזיאון את נכסי העמיות השונים</w:t>
      </w:r>
      <w:r w:rsidR="00956D4D">
        <w:rPr>
          <w:rFonts w:ascii="David" w:eastAsia="David" w:hAnsi="David" w:cs="David" w:hint="cs"/>
          <w:color w:val="000000"/>
          <w:rtl/>
          <w:lang w:bidi="he-IL"/>
        </w:rPr>
        <w:t xml:space="preserve"> וסוגיות זהותיות שונות</w:t>
      </w:r>
      <w:r w:rsidRPr="00A9472D">
        <w:rPr>
          <w:rFonts w:ascii="David" w:eastAsia="David" w:hAnsi="David" w:cs="David" w:hint="cs"/>
          <w:color w:val="000000"/>
          <w:rtl/>
          <w:lang w:bidi="he-IL"/>
        </w:rPr>
        <w:t xml:space="preserve"> </w:t>
      </w:r>
      <w:r w:rsidR="00EB20F9">
        <w:rPr>
          <w:rFonts w:ascii="David" w:eastAsia="David" w:hAnsi="David" w:cs="David" w:hint="cs"/>
          <w:color w:val="000000"/>
          <w:rtl/>
          <w:lang w:bidi="he-IL"/>
        </w:rPr>
        <w:t>ודרכם לראות כיצד ישנן גישות שונות ומגוונות לזהות יהודית ברחבי העולם.</w:t>
      </w:r>
    </w:p>
    <w:p w14:paraId="46F92356" w14:textId="5ECD634C" w:rsidR="00956D4D" w:rsidRDefault="00B64252" w:rsidP="004D1925">
      <w:pPr>
        <w:bidi/>
        <w:spacing w:line="360" w:lineRule="auto"/>
        <w:ind w:leftChars="0" w:left="2" w:hanging="2"/>
        <w:contextualSpacing/>
        <w:jc w:val="both"/>
        <w:rPr>
          <w:rFonts w:ascii="David" w:eastAsia="David" w:hAnsi="David" w:cs="David"/>
          <w:bCs/>
          <w:color w:val="000000"/>
          <w:rtl/>
          <w:lang w:bidi="he-IL"/>
        </w:rPr>
      </w:pPr>
      <w:r>
        <w:rPr>
          <w:rFonts w:ascii="David" w:eastAsia="David" w:hAnsi="David" w:cs="David" w:hint="cs"/>
          <w:bCs/>
          <w:color w:val="000000"/>
          <w:rtl/>
          <w:lang w:bidi="he-IL"/>
        </w:rPr>
        <w:t>*הער</w:t>
      </w:r>
      <w:r w:rsidR="00956D4D">
        <w:rPr>
          <w:rFonts w:ascii="David" w:eastAsia="David" w:hAnsi="David" w:cs="David" w:hint="cs"/>
          <w:bCs/>
          <w:color w:val="000000"/>
          <w:rtl/>
          <w:lang w:bidi="he-IL"/>
        </w:rPr>
        <w:t>ות</w:t>
      </w:r>
      <w:r>
        <w:rPr>
          <w:rFonts w:ascii="David" w:eastAsia="David" w:hAnsi="David" w:cs="David" w:hint="cs"/>
          <w:bCs/>
          <w:color w:val="000000"/>
          <w:rtl/>
          <w:lang w:bidi="he-IL"/>
        </w:rPr>
        <w:t xml:space="preserve"> חשוב</w:t>
      </w:r>
      <w:r w:rsidR="00956D4D">
        <w:rPr>
          <w:rFonts w:ascii="David" w:eastAsia="David" w:hAnsi="David" w:cs="David" w:hint="cs"/>
          <w:bCs/>
          <w:color w:val="000000"/>
          <w:rtl/>
          <w:lang w:bidi="he-IL"/>
        </w:rPr>
        <w:t>ות:</w:t>
      </w:r>
    </w:p>
    <w:p w14:paraId="08673846" w14:textId="1A6B40FD" w:rsidR="00956D4D" w:rsidRPr="00956D4D" w:rsidRDefault="00956D4D" w:rsidP="00956D4D">
      <w:pPr>
        <w:bidi/>
        <w:spacing w:line="360" w:lineRule="auto"/>
        <w:ind w:leftChars="0" w:left="2" w:hanging="2"/>
        <w:contextualSpacing/>
        <w:jc w:val="both"/>
        <w:rPr>
          <w:rFonts w:ascii="David" w:eastAsia="David" w:hAnsi="David" w:cs="David"/>
          <w:b/>
          <w:color w:val="000000"/>
          <w:rtl/>
          <w:lang w:bidi="he-IL"/>
        </w:rPr>
      </w:pPr>
      <w:r w:rsidRPr="00956D4D">
        <w:rPr>
          <w:rFonts w:ascii="David" w:eastAsia="David" w:hAnsi="David" w:cs="David" w:hint="cs"/>
          <w:b/>
          <w:color w:val="000000"/>
          <w:rtl/>
          <w:lang w:bidi="he-IL"/>
        </w:rPr>
        <w:t xml:space="preserve">לצד העיסוק בעמיות, חשוב מאוד להמשיג את המוזיאון כעוסק בסוגיות שונות של זהות- יהודית ודאי אך גם ישראלית (אליה יש להניח שהתלמידים מחוברים יותר). </w:t>
      </w:r>
    </w:p>
    <w:p w14:paraId="02F125E1" w14:textId="7E5CBE30" w:rsidR="00B64252" w:rsidRDefault="00956D4D" w:rsidP="00956D4D">
      <w:pPr>
        <w:bidi/>
        <w:spacing w:line="360" w:lineRule="auto"/>
        <w:ind w:leftChars="0" w:left="2" w:hanging="2"/>
        <w:contextualSpacing/>
        <w:jc w:val="both"/>
        <w:rPr>
          <w:rFonts w:ascii="David" w:eastAsia="David" w:hAnsi="David" w:cs="David"/>
          <w:color w:val="000000"/>
          <w:rtl/>
          <w:lang w:bidi="he-IL"/>
        </w:rPr>
      </w:pPr>
      <w:r>
        <w:rPr>
          <w:rFonts w:ascii="David" w:eastAsia="David" w:hAnsi="David" w:cs="David" w:hint="cs"/>
          <w:color w:val="000000"/>
          <w:rtl/>
          <w:lang w:bidi="he-IL"/>
        </w:rPr>
        <w:t xml:space="preserve">הסבב השני של </w:t>
      </w:r>
      <w:r w:rsidR="00B64252">
        <w:rPr>
          <w:rFonts w:ascii="David" w:eastAsia="David" w:hAnsi="David" w:cs="David" w:hint="cs"/>
          <w:color w:val="000000"/>
          <w:rtl/>
          <w:lang w:bidi="he-IL"/>
        </w:rPr>
        <w:t>הקבוצות מגיע לסיור לאחר שעברו את סדנת הקשר הא(ע)מיתי</w:t>
      </w:r>
      <w:r w:rsidR="00EB20F9">
        <w:rPr>
          <w:rFonts w:ascii="David" w:eastAsia="David" w:hAnsi="David" w:cs="David" w:hint="cs"/>
          <w:color w:val="000000"/>
          <w:rtl/>
          <w:lang w:bidi="he-IL"/>
        </w:rPr>
        <w:t xml:space="preserve">. </w:t>
      </w:r>
      <w:r w:rsidR="00B64252">
        <w:rPr>
          <w:rFonts w:ascii="David" w:eastAsia="David" w:hAnsi="David" w:cs="David" w:hint="cs"/>
          <w:color w:val="000000"/>
          <w:rtl/>
          <w:lang w:bidi="he-IL"/>
        </w:rPr>
        <w:t>המטרה היא לבחון יחד איך הם מתגלמים לא רק כרעיונות מופשטים אלא כאוסף דימויים ממשיים במוזיאון.</w:t>
      </w:r>
    </w:p>
    <w:p w14:paraId="510DD790" w14:textId="77777777" w:rsidR="007F107B" w:rsidRDefault="007F107B" w:rsidP="004D1925">
      <w:pPr>
        <w:bidi/>
        <w:spacing w:line="360" w:lineRule="auto"/>
        <w:ind w:leftChars="0" w:left="2" w:hanging="2"/>
        <w:contextualSpacing/>
        <w:jc w:val="both"/>
        <w:rPr>
          <w:rFonts w:ascii="David" w:eastAsia="David" w:hAnsi="David" w:cs="David"/>
          <w:color w:val="000000"/>
        </w:rPr>
      </w:pPr>
    </w:p>
    <w:p w14:paraId="1B13A195" w14:textId="77777777" w:rsidR="007F107B" w:rsidRPr="00B5706C" w:rsidRDefault="007F107B" w:rsidP="004D1925">
      <w:pPr>
        <w:bidi/>
        <w:spacing w:line="360" w:lineRule="auto"/>
        <w:ind w:leftChars="0" w:left="2" w:hanging="2"/>
        <w:contextualSpacing/>
        <w:jc w:val="both"/>
        <w:rPr>
          <w:rFonts w:ascii="David" w:eastAsia="David" w:hAnsi="David" w:cs="David"/>
          <w:b/>
          <w:bCs/>
          <w:color w:val="000000"/>
          <w:lang w:bidi="he-IL"/>
        </w:rPr>
      </w:pPr>
      <w:r>
        <w:rPr>
          <w:rFonts w:ascii="David" w:eastAsia="David" w:hAnsi="David" w:cs="David" w:hint="cs"/>
          <w:b/>
          <w:bCs/>
          <w:color w:val="000000"/>
          <w:rtl/>
          <w:lang w:bidi="he-IL"/>
        </w:rPr>
        <w:t>מתווה</w:t>
      </w:r>
      <w:r w:rsidRPr="00A9472D">
        <w:rPr>
          <w:rFonts w:ascii="David" w:eastAsia="David" w:hAnsi="David" w:cs="David" w:hint="cs"/>
          <w:b/>
          <w:bCs/>
          <w:color w:val="000000"/>
          <w:rtl/>
          <w:lang w:bidi="he-IL"/>
        </w:rPr>
        <w:t xml:space="preserve"> הסיור</w:t>
      </w:r>
    </w:p>
    <w:p w14:paraId="5B2A84AE" w14:textId="77777777" w:rsidR="007F107B" w:rsidRPr="00A9472D" w:rsidRDefault="007F107B" w:rsidP="004D1925">
      <w:pPr>
        <w:bidi/>
        <w:spacing w:line="360" w:lineRule="auto"/>
        <w:ind w:leftChars="0" w:left="2" w:hanging="2"/>
        <w:contextualSpacing/>
        <w:jc w:val="both"/>
        <w:rPr>
          <w:rFonts w:ascii="David" w:eastAsia="David" w:hAnsi="David" w:cs="David"/>
          <w:b/>
          <w:color w:val="000000"/>
          <w:u w:val="single"/>
          <w:rtl/>
          <w:lang w:bidi="he-IL"/>
        </w:rPr>
      </w:pPr>
    </w:p>
    <w:p w14:paraId="0E4B8C27" w14:textId="77777777" w:rsidR="00956D4D" w:rsidRPr="009326F3" w:rsidRDefault="007F107B" w:rsidP="00956D4D">
      <w:pPr>
        <w:bidi/>
        <w:spacing w:line="360" w:lineRule="auto"/>
        <w:ind w:left="0" w:hanging="2"/>
        <w:contextualSpacing/>
        <w:jc w:val="both"/>
        <w:rPr>
          <w:rFonts w:ascii="David" w:hAnsi="David" w:cs="David"/>
          <w:rtl/>
          <w:lang w:val="en-US"/>
        </w:rPr>
      </w:pPr>
      <w:r w:rsidRPr="00956D4D">
        <w:rPr>
          <w:rFonts w:ascii="David" w:eastAsia="David" w:hAnsi="David" w:cs="David"/>
          <w:b/>
          <w:color w:val="000000"/>
          <w:rtl/>
        </w:rPr>
        <w:t>פתיחה</w:t>
      </w:r>
      <w:r w:rsidRPr="00956D4D">
        <w:rPr>
          <w:rFonts w:ascii="David" w:eastAsia="David" w:hAnsi="David" w:cs="David" w:hint="cs"/>
          <w:b/>
          <w:color w:val="000000"/>
          <w:rtl/>
        </w:rPr>
        <w:t xml:space="preserve"> והצגת מטרת הסיור</w:t>
      </w:r>
      <w:r w:rsidRPr="00956D4D">
        <w:rPr>
          <w:rFonts w:ascii="David" w:eastAsia="David" w:hAnsi="David" w:cs="David"/>
          <w:b/>
          <w:color w:val="000000"/>
          <w:rtl/>
        </w:rPr>
        <w:t>:</w:t>
      </w:r>
      <w:r w:rsidRPr="00956D4D">
        <w:rPr>
          <w:rFonts w:ascii="David" w:eastAsia="David" w:hAnsi="David" w:cs="David" w:hint="cs"/>
          <w:b/>
          <w:color w:val="000000"/>
          <w:rtl/>
        </w:rPr>
        <w:t xml:space="preserve"> </w:t>
      </w:r>
      <w:r w:rsidR="00956D4D" w:rsidRPr="009326F3">
        <w:rPr>
          <w:rFonts w:ascii="David" w:hAnsi="David" w:cs="David"/>
          <w:rtl/>
          <w:lang w:val="en-US"/>
        </w:rPr>
        <w:t xml:space="preserve">הפתיחה צריכה להמשיג את העובדה שככלל, המוזיאון מציג זהויות שונות המרכיבות את העולם היהודי אך לא פחות מכך, הוא מהווה מעין מראה עבור המבקרים לבירור זהותם האישית. </w:t>
      </w:r>
      <w:r w:rsidR="00956D4D" w:rsidRPr="009326F3">
        <w:rPr>
          <w:rFonts w:ascii="David" w:hAnsi="David" w:cs="David"/>
          <w:rtl/>
        </w:rPr>
        <w:t xml:space="preserve">הגדרת העצמי לא רק במה אני אלא גם מה אני לא. </w:t>
      </w:r>
      <w:r w:rsidR="00956D4D" w:rsidRPr="009326F3">
        <w:rPr>
          <w:rFonts w:ascii="David" w:hAnsi="David" w:cs="David"/>
          <w:rtl/>
          <w:lang w:val="en-US"/>
        </w:rPr>
        <w:t xml:space="preserve">כך מוזמנים המבקרים גם להכיר אך גם לראות מה מהמוצגים מעניין אותם, משמח אותם, מרגיז אותם, מסקרן אותם וכו'. </w:t>
      </w:r>
    </w:p>
    <w:p w14:paraId="33088377" w14:textId="655523CE" w:rsidR="007F107B" w:rsidRPr="00DD674C" w:rsidRDefault="007F107B" w:rsidP="00DD674C">
      <w:pPr>
        <w:bidi/>
        <w:spacing w:line="360" w:lineRule="auto"/>
        <w:ind w:leftChars="0" w:left="0" w:firstLineChars="0" w:hanging="2"/>
        <w:jc w:val="both"/>
        <w:rPr>
          <w:rFonts w:ascii="David" w:eastAsia="David" w:hAnsi="David" w:cs="David"/>
          <w:b/>
          <w:bCs/>
          <w:color w:val="000000"/>
          <w:rtl/>
        </w:rPr>
      </w:pPr>
    </w:p>
    <w:p w14:paraId="68A83AD4" w14:textId="77777777" w:rsidR="007F107B" w:rsidRPr="00A9472D" w:rsidRDefault="007F107B" w:rsidP="004D1925">
      <w:pPr>
        <w:bidi/>
        <w:spacing w:line="360" w:lineRule="auto"/>
        <w:ind w:leftChars="0" w:left="2" w:hanging="2"/>
        <w:contextualSpacing/>
        <w:jc w:val="both"/>
        <w:rPr>
          <w:rFonts w:ascii="David" w:eastAsia="David" w:hAnsi="David" w:cs="David"/>
          <w:b/>
          <w:bCs/>
          <w:color w:val="000000"/>
          <w:u w:val="single"/>
          <w:rtl/>
          <w:lang w:bidi="he-IL"/>
        </w:rPr>
      </w:pPr>
      <w:r w:rsidRPr="00A9472D">
        <w:rPr>
          <w:rFonts w:ascii="David" w:eastAsia="David" w:hAnsi="David" w:cs="David" w:hint="cs"/>
          <w:b/>
          <w:bCs/>
          <w:color w:val="000000"/>
          <w:u w:val="single"/>
          <w:rtl/>
          <w:lang w:bidi="he-IL"/>
        </w:rPr>
        <w:t>קומה 3</w:t>
      </w:r>
    </w:p>
    <w:p w14:paraId="18E5C59D" w14:textId="77777777" w:rsidR="007F107B" w:rsidRPr="00A9472D" w:rsidRDefault="007F107B" w:rsidP="004D1925">
      <w:pPr>
        <w:bidi/>
        <w:spacing w:line="360" w:lineRule="auto"/>
        <w:ind w:leftChars="0" w:left="2" w:hanging="2"/>
        <w:contextualSpacing/>
        <w:jc w:val="both"/>
        <w:rPr>
          <w:rFonts w:ascii="David" w:eastAsia="David" w:hAnsi="David" w:cs="David"/>
          <w:b/>
          <w:bCs/>
          <w:color w:val="000000"/>
          <w:u w:val="single"/>
          <w:rtl/>
          <w:lang w:bidi="he-IL"/>
        </w:rPr>
      </w:pPr>
    </w:p>
    <w:p w14:paraId="41DACF68" w14:textId="77777777" w:rsidR="007F107B" w:rsidRPr="00A9472D" w:rsidRDefault="007F107B" w:rsidP="004D1925">
      <w:pPr>
        <w:pStyle w:val="a7"/>
        <w:numPr>
          <w:ilvl w:val="0"/>
          <w:numId w:val="1"/>
        </w:numPr>
        <w:bidi/>
        <w:spacing w:line="360" w:lineRule="auto"/>
        <w:ind w:leftChars="0" w:left="0" w:firstLineChars="0"/>
        <w:jc w:val="both"/>
        <w:rPr>
          <w:rFonts w:ascii="David" w:eastAsia="David" w:hAnsi="David" w:cs="David"/>
          <w:color w:val="000000"/>
          <w:sz w:val="24"/>
          <w:szCs w:val="24"/>
          <w:u w:val="single"/>
          <w:rtl/>
        </w:rPr>
      </w:pPr>
      <w:r w:rsidRPr="00A9472D">
        <w:rPr>
          <w:rFonts w:ascii="David" w:eastAsia="David" w:hAnsi="David" w:cs="David" w:hint="cs"/>
          <w:color w:val="000000"/>
          <w:sz w:val="24"/>
          <w:szCs w:val="24"/>
          <w:u w:val="single"/>
          <w:rtl/>
        </w:rPr>
        <w:t xml:space="preserve">ערכים יהודיים </w:t>
      </w:r>
    </w:p>
    <w:p w14:paraId="0253AB8A" w14:textId="5133ABB7" w:rsidR="007F107B" w:rsidRPr="00A9472D" w:rsidRDefault="007F107B" w:rsidP="004D1925">
      <w:pPr>
        <w:bidi/>
        <w:spacing w:line="360" w:lineRule="auto"/>
        <w:ind w:leftChars="0" w:left="2" w:hanging="2"/>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מוקד קהילות וגבולות</w:t>
      </w:r>
      <w:r w:rsidR="00EB20F9">
        <w:rPr>
          <w:rFonts w:ascii="David" w:eastAsia="David" w:hAnsi="David" w:cs="David" w:hint="cs"/>
          <w:b/>
          <w:bCs/>
          <w:color w:val="000000"/>
          <w:rtl/>
          <w:lang w:bidi="he-IL"/>
        </w:rPr>
        <w:t xml:space="preserve"> (דה לה פרגולה)</w:t>
      </w:r>
      <w:r w:rsidRPr="00A9472D">
        <w:rPr>
          <w:rFonts w:ascii="David" w:eastAsia="David" w:hAnsi="David" w:cs="David" w:hint="cs"/>
          <w:b/>
          <w:bCs/>
          <w:color w:val="000000"/>
          <w:rtl/>
          <w:lang w:bidi="he-IL"/>
        </w:rPr>
        <w:t xml:space="preserve"> ומוצג ''תיקון עולם''</w:t>
      </w:r>
      <w:r w:rsidRPr="00A9472D">
        <w:rPr>
          <w:rFonts w:ascii="David" w:eastAsia="David" w:hAnsi="David" w:cs="David" w:hint="cs"/>
          <w:color w:val="000000"/>
          <w:rtl/>
          <w:lang w:bidi="he-IL"/>
        </w:rPr>
        <w:t xml:space="preserve"> </w:t>
      </w:r>
      <w:r w:rsidRPr="00A9472D">
        <w:rPr>
          <w:rFonts w:ascii="David" w:eastAsia="David" w:hAnsi="David" w:cs="David"/>
          <w:color w:val="000000"/>
          <w:rtl/>
          <w:lang w:bidi="he-IL"/>
        </w:rPr>
        <w:t>–</w:t>
      </w:r>
      <w:r w:rsidRPr="00A9472D">
        <w:rPr>
          <w:rFonts w:ascii="David" w:eastAsia="David" w:hAnsi="David" w:cs="David" w:hint="cs"/>
          <w:color w:val="000000"/>
          <w:rtl/>
          <w:lang w:bidi="he-IL"/>
        </w:rPr>
        <w:t xml:space="preserve"> ערך יהודי המגיע מהמשנה וביטויו השונים ברחבי העולם היהודי</w:t>
      </w:r>
    </w:p>
    <w:p w14:paraId="5EE8900B" w14:textId="77777777" w:rsidR="007F107B" w:rsidRPr="00A9472D" w:rsidRDefault="007F107B" w:rsidP="004D1925">
      <w:pPr>
        <w:bidi/>
        <w:spacing w:line="360" w:lineRule="auto"/>
        <w:ind w:leftChars="0" w:left="2" w:hanging="2"/>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מוקד האינדיבידואלים</w:t>
      </w:r>
      <w:r w:rsidRPr="00A9472D">
        <w:rPr>
          <w:rFonts w:ascii="David" w:eastAsia="David" w:hAnsi="David" w:cs="David" w:hint="cs"/>
          <w:color w:val="000000"/>
          <w:rtl/>
          <w:lang w:bidi="he-IL"/>
        </w:rPr>
        <w:t xml:space="preserve"> </w:t>
      </w:r>
      <w:r w:rsidRPr="00A9472D">
        <w:rPr>
          <w:rFonts w:ascii="David" w:eastAsia="David" w:hAnsi="David" w:cs="David"/>
          <w:color w:val="000000"/>
          <w:rtl/>
          <w:lang w:bidi="he-IL"/>
        </w:rPr>
        <w:t>–</w:t>
      </w:r>
      <w:r w:rsidRPr="00A9472D">
        <w:rPr>
          <w:rFonts w:ascii="David" w:eastAsia="David" w:hAnsi="David" w:cs="David" w:hint="cs"/>
          <w:color w:val="000000"/>
          <w:rtl/>
          <w:lang w:bidi="he-IL"/>
        </w:rPr>
        <w:t xml:space="preserve"> מורכבות הערכים היהודיים מהזויות השונות של הזהויות היהודיות</w:t>
      </w:r>
    </w:p>
    <w:p w14:paraId="1AEAD7B5" w14:textId="77777777" w:rsidR="007F107B" w:rsidRPr="00A9472D" w:rsidRDefault="007F107B" w:rsidP="004D1925">
      <w:pPr>
        <w:bidi/>
        <w:spacing w:line="360" w:lineRule="auto"/>
        <w:ind w:leftChars="0" w:left="2" w:hanging="2"/>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מנהגים ומסורות-</w:t>
      </w:r>
      <w:r w:rsidRPr="00A9472D">
        <w:rPr>
          <w:rFonts w:ascii="David" w:eastAsia="David" w:hAnsi="David" w:cs="David" w:hint="cs"/>
          <w:color w:val="000000"/>
          <w:rtl/>
          <w:lang w:bidi="he-IL"/>
        </w:rPr>
        <w:t xml:space="preserve"> בין פולקלור למשמעות עמוקה המגלמת חשיבה ערכית</w:t>
      </w:r>
    </w:p>
    <w:p w14:paraId="3E61FFD7" w14:textId="77777777" w:rsidR="007F107B" w:rsidRPr="00A9472D" w:rsidRDefault="007F107B" w:rsidP="004D1925">
      <w:pPr>
        <w:bidi/>
        <w:spacing w:line="360" w:lineRule="auto"/>
        <w:ind w:leftChars="0" w:left="2" w:hanging="2"/>
        <w:contextualSpacing/>
        <w:jc w:val="both"/>
        <w:rPr>
          <w:rFonts w:ascii="David" w:eastAsia="David" w:hAnsi="David" w:cs="David"/>
          <w:color w:val="000000"/>
          <w:rtl/>
          <w:lang w:bidi="he-IL"/>
        </w:rPr>
      </w:pPr>
    </w:p>
    <w:p w14:paraId="50A0A0B7" w14:textId="77777777" w:rsidR="007F107B" w:rsidRPr="00A9472D" w:rsidRDefault="007F107B" w:rsidP="004D1925">
      <w:pPr>
        <w:pStyle w:val="a7"/>
        <w:numPr>
          <w:ilvl w:val="0"/>
          <w:numId w:val="1"/>
        </w:numPr>
        <w:bidi/>
        <w:spacing w:line="360" w:lineRule="auto"/>
        <w:ind w:leftChars="0" w:left="0" w:firstLineChars="0"/>
        <w:jc w:val="both"/>
        <w:rPr>
          <w:rFonts w:ascii="David" w:eastAsia="David" w:hAnsi="David" w:cs="David"/>
          <w:color w:val="000000"/>
          <w:sz w:val="24"/>
          <w:szCs w:val="24"/>
          <w:u w:val="single"/>
        </w:rPr>
      </w:pPr>
      <w:r w:rsidRPr="00A9472D">
        <w:rPr>
          <w:rFonts w:ascii="David" w:eastAsia="David" w:hAnsi="David" w:cs="David" w:hint="cs"/>
          <w:color w:val="000000"/>
          <w:sz w:val="24"/>
          <w:szCs w:val="24"/>
          <w:u w:val="single"/>
          <w:rtl/>
        </w:rPr>
        <w:t>זיכרון היסטורי-יהודי בנקודות מבט שונות</w:t>
      </w:r>
    </w:p>
    <w:p w14:paraId="3D425C81" w14:textId="77777777" w:rsidR="007F107B" w:rsidRPr="00A9472D" w:rsidRDefault="007F107B" w:rsidP="004D1925">
      <w:pPr>
        <w:bidi/>
        <w:spacing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b/>
          <w:bCs/>
          <w:color w:val="000000"/>
          <w:rtl/>
          <w:lang w:val="en-US" w:bidi="he-IL"/>
        </w:rPr>
        <w:t>מוקד הקולנוע-</w:t>
      </w:r>
      <w:r w:rsidRPr="00A9472D">
        <w:rPr>
          <w:rFonts w:ascii="David" w:eastAsia="David" w:hAnsi="David" w:cs="David" w:hint="cs"/>
          <w:b/>
          <w:bCs/>
          <w:color w:val="000000"/>
          <w:rtl/>
          <w:lang w:bidi="he-IL"/>
        </w:rPr>
        <w:t xml:space="preserve"> בין </w:t>
      </w:r>
      <w:r w:rsidRPr="00A9472D">
        <w:rPr>
          <w:rFonts w:ascii="David" w:eastAsia="David" w:hAnsi="David" w:cs="David" w:hint="cs"/>
          <w:b/>
          <w:bCs/>
          <w:color w:val="000000"/>
          <w:lang w:bidi="he-IL"/>
        </w:rPr>
        <w:t>ET</w:t>
      </w:r>
      <w:r w:rsidRPr="00A9472D">
        <w:rPr>
          <w:rFonts w:ascii="David" w:eastAsia="David" w:hAnsi="David" w:cs="David" w:hint="cs"/>
          <w:b/>
          <w:bCs/>
          <w:color w:val="000000"/>
          <w:rtl/>
          <w:lang w:bidi="he-IL"/>
        </w:rPr>
        <w:t xml:space="preserve"> לרשימת שינדלר-</w:t>
      </w:r>
      <w:r w:rsidRPr="00A9472D">
        <w:rPr>
          <w:rFonts w:ascii="David" w:eastAsia="David" w:hAnsi="David" w:cs="David" w:hint="cs"/>
          <w:color w:val="000000"/>
          <w:rtl/>
          <w:lang w:bidi="he-IL"/>
        </w:rPr>
        <w:t xml:space="preserve"> דמותו של סטיבן שפילברג כיוצר אמריקאי-בינלאומי המציג דרך בחירותיו היצירתיות את המורכבות והשיח סביב זיכרונות היסטוריים יהודיים.</w:t>
      </w:r>
    </w:p>
    <w:p w14:paraId="35E39A67" w14:textId="77777777" w:rsidR="007F107B" w:rsidRPr="00A9472D" w:rsidRDefault="007F107B" w:rsidP="004D1925">
      <w:pPr>
        <w:bidi/>
        <w:spacing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מוקד התיאטרון- הדיבוק-</w:t>
      </w:r>
      <w:r w:rsidRPr="00A9472D">
        <w:rPr>
          <w:rFonts w:ascii="David" w:eastAsia="David" w:hAnsi="David" w:cs="David" w:hint="cs"/>
          <w:color w:val="000000"/>
          <w:rtl/>
          <w:lang w:bidi="he-IL"/>
        </w:rPr>
        <w:t xml:space="preserve"> על המפגש בין זיכרון ממשי לסיפור. </w:t>
      </w:r>
    </w:p>
    <w:p w14:paraId="77A73D94" w14:textId="77777777" w:rsidR="007F107B" w:rsidRPr="00A9472D" w:rsidRDefault="007F107B" w:rsidP="004D1925">
      <w:pPr>
        <w:bidi/>
        <w:spacing w:line="360" w:lineRule="auto"/>
        <w:ind w:leftChars="0" w:left="0" w:firstLineChars="0" w:firstLine="0"/>
        <w:contextualSpacing/>
        <w:jc w:val="both"/>
        <w:rPr>
          <w:rFonts w:ascii="David" w:eastAsia="David" w:hAnsi="David" w:cs="David"/>
          <w:color w:val="000000"/>
          <w:rtl/>
          <w:lang w:bidi="he-IL"/>
        </w:rPr>
      </w:pPr>
    </w:p>
    <w:p w14:paraId="65F240A3" w14:textId="77777777" w:rsidR="007F107B" w:rsidRPr="00A9472D" w:rsidRDefault="007F107B" w:rsidP="004D1925">
      <w:pPr>
        <w:pStyle w:val="NormalWeb"/>
        <w:numPr>
          <w:ilvl w:val="0"/>
          <w:numId w:val="1"/>
        </w:numPr>
        <w:shd w:val="clear" w:color="auto" w:fill="FFFFFF"/>
        <w:bidi/>
        <w:spacing w:before="120" w:beforeAutospacing="0" w:after="120" w:afterAutospacing="0" w:line="360" w:lineRule="auto"/>
        <w:ind w:leftChars="0" w:left="0" w:firstLineChars="0"/>
        <w:contextualSpacing/>
        <w:jc w:val="both"/>
        <w:rPr>
          <w:rFonts w:ascii="David" w:eastAsia="David" w:hAnsi="David" w:cs="David"/>
          <w:color w:val="000000"/>
          <w:u w:val="single"/>
          <w:lang w:bidi="he-IL"/>
        </w:rPr>
      </w:pPr>
      <w:r w:rsidRPr="00A9472D">
        <w:rPr>
          <w:rFonts w:ascii="David" w:eastAsia="David" w:hAnsi="David" w:cs="David" w:hint="cs"/>
          <w:color w:val="000000"/>
          <w:u w:val="single"/>
          <w:rtl/>
          <w:lang w:bidi="he-IL"/>
        </w:rPr>
        <w:t>עברית ושפות יהודיות</w:t>
      </w:r>
    </w:p>
    <w:p w14:paraId="19A6A062"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lastRenderedPageBreak/>
        <w:t xml:space="preserve">מוקד שפות יהודיות- מוצג מילון אליעזר בן יהודה </w:t>
      </w:r>
      <w:r w:rsidRPr="00A9472D">
        <w:rPr>
          <w:rFonts w:ascii="David" w:eastAsia="David" w:hAnsi="David" w:cs="David" w:hint="cs"/>
          <w:color w:val="000000"/>
          <w:rtl/>
          <w:lang w:bidi="he-IL"/>
        </w:rPr>
        <w:t xml:space="preserve"> - דמות יהודית-תרבותית-ישראלית פורצת דרך אשר הקימה לתחייה את השפה העברית, העברית המחודשת והמדוברת כאקט ציוני במאה ה20</w:t>
      </w:r>
    </w:p>
    <w:p w14:paraId="28638A0C" w14:textId="464F6505"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 xml:space="preserve">מוקד שפות יהודיות-מוצג איל פרוגריסו (''הקידמה'') </w:t>
      </w:r>
      <w:r w:rsidRPr="00A9472D">
        <w:rPr>
          <w:rFonts w:ascii="David" w:eastAsia="David" w:hAnsi="David" w:cs="David"/>
          <w:b/>
          <w:bCs/>
          <w:color w:val="000000"/>
          <w:rtl/>
          <w:lang w:bidi="he-IL"/>
        </w:rPr>
        <w:t>–</w:t>
      </w:r>
      <w:r w:rsidRPr="00A9472D">
        <w:rPr>
          <w:rFonts w:ascii="David" w:eastAsia="David" w:hAnsi="David" w:cs="David" w:hint="cs"/>
          <w:b/>
          <w:bCs/>
          <w:color w:val="000000"/>
          <w:rtl/>
          <w:lang w:bidi="he-IL"/>
        </w:rPr>
        <w:t xml:space="preserve"> </w:t>
      </w:r>
      <w:r w:rsidRPr="00A9472D">
        <w:rPr>
          <w:rFonts w:ascii="David" w:eastAsia="David" w:hAnsi="David" w:cs="David" w:hint="cs"/>
          <w:color w:val="000000"/>
          <w:rtl/>
          <w:lang w:bidi="he-IL"/>
        </w:rPr>
        <w:t xml:space="preserve">ביטוי לזהות התרבותית שנוצרה בעקבות ההגירה הספרדית לארה''ב בעשורים הראשונים של המאה ה20 </w:t>
      </w:r>
      <w:r w:rsidRPr="00A9472D">
        <w:rPr>
          <w:rFonts w:ascii="David" w:eastAsia="David" w:hAnsi="David" w:cs="David"/>
          <w:color w:val="000000"/>
          <w:rtl/>
          <w:lang w:bidi="he-IL"/>
        </w:rPr>
        <w:t>–</w:t>
      </w:r>
      <w:r w:rsidRPr="00A9472D">
        <w:rPr>
          <w:rFonts w:ascii="David" w:eastAsia="David" w:hAnsi="David" w:cs="David" w:hint="cs"/>
          <w:color w:val="000000"/>
          <w:rtl/>
          <w:lang w:bidi="he-IL"/>
        </w:rPr>
        <w:t xml:space="preserve">שלוש השפות המדוברות בקהילות מציגות את תוואי חיי הקהילה המקומית באותה התקופה </w:t>
      </w:r>
      <w:r w:rsidRPr="00A9472D">
        <w:rPr>
          <w:rFonts w:ascii="David" w:eastAsia="David" w:hAnsi="David" w:cs="David"/>
          <w:color w:val="000000"/>
          <w:rtl/>
          <w:lang w:bidi="he-IL"/>
        </w:rPr>
        <w:t>–</w:t>
      </w:r>
      <w:r w:rsidRPr="00A9472D">
        <w:rPr>
          <w:rFonts w:ascii="David" w:eastAsia="David" w:hAnsi="David" w:cs="David" w:hint="cs"/>
          <w:color w:val="000000"/>
          <w:rtl/>
          <w:lang w:bidi="he-IL"/>
        </w:rPr>
        <w:t xml:space="preserve"> לדינו, אנגלית, ורש''י.</w:t>
      </w:r>
    </w:p>
    <w:p w14:paraId="0DB3BBEA"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מוקד ספרות-</w:t>
      </w:r>
      <w:r w:rsidRPr="00A9472D">
        <w:rPr>
          <w:rFonts w:ascii="David" w:eastAsia="David" w:hAnsi="David" w:cs="David" w:hint="cs"/>
          <w:color w:val="000000"/>
          <w:rtl/>
          <w:lang w:bidi="he-IL"/>
        </w:rPr>
        <w:t xml:space="preserve"> </w:t>
      </w:r>
      <w:r w:rsidRPr="00A9472D">
        <w:rPr>
          <w:rFonts w:ascii="David" w:eastAsia="David" w:hAnsi="David" w:cs="David" w:hint="cs"/>
          <w:b/>
          <w:bCs/>
          <w:color w:val="000000"/>
          <w:rtl/>
          <w:lang w:bidi="he-IL"/>
        </w:rPr>
        <w:t xml:space="preserve">מוצג מכונת הכתיבה של יצחק בשביס זינגר </w:t>
      </w:r>
      <w:r w:rsidRPr="00A9472D">
        <w:rPr>
          <w:rFonts w:ascii="David" w:eastAsia="David" w:hAnsi="David" w:cs="David"/>
          <w:b/>
          <w:bCs/>
          <w:color w:val="000000"/>
          <w:rtl/>
          <w:lang w:bidi="he-IL"/>
        </w:rPr>
        <w:t>–</w:t>
      </w:r>
      <w:r w:rsidRPr="00A9472D">
        <w:rPr>
          <w:rFonts w:ascii="David" w:eastAsia="David" w:hAnsi="David" w:cs="David" w:hint="cs"/>
          <w:b/>
          <w:bCs/>
          <w:color w:val="000000"/>
          <w:rtl/>
          <w:lang w:bidi="he-IL"/>
        </w:rPr>
        <w:t xml:space="preserve"> </w:t>
      </w:r>
      <w:r w:rsidRPr="00A9472D">
        <w:rPr>
          <w:rFonts w:ascii="David" w:eastAsia="David" w:hAnsi="David" w:cs="David" w:hint="cs"/>
          <w:color w:val="000000"/>
          <w:rtl/>
          <w:lang w:bidi="he-IL"/>
        </w:rPr>
        <w:t>דמות יהודית-תרבותית אשר ביצירותיה הכתובות ביידיש ביקש לשמר תרבות ועולם אשר הלך ונעלם.</w:t>
      </w:r>
    </w:p>
    <w:p w14:paraId="433CB369"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p>
    <w:p w14:paraId="0ABB8DDA" w14:textId="77777777" w:rsidR="007F107B" w:rsidRPr="00A9472D" w:rsidRDefault="007F107B" w:rsidP="004D1925">
      <w:pPr>
        <w:pStyle w:val="NormalWeb"/>
        <w:numPr>
          <w:ilvl w:val="0"/>
          <w:numId w:val="1"/>
        </w:numPr>
        <w:shd w:val="clear" w:color="auto" w:fill="FFFFFF"/>
        <w:bidi/>
        <w:spacing w:before="120" w:beforeAutospacing="0" w:after="120" w:afterAutospacing="0" w:line="360" w:lineRule="auto"/>
        <w:ind w:leftChars="0" w:left="0" w:firstLineChars="0"/>
        <w:contextualSpacing/>
        <w:jc w:val="both"/>
        <w:rPr>
          <w:rFonts w:ascii="David" w:eastAsia="David" w:hAnsi="David" w:cs="David"/>
          <w:color w:val="000000"/>
          <w:u w:val="single"/>
          <w:lang w:bidi="he-IL"/>
        </w:rPr>
      </w:pPr>
      <w:r w:rsidRPr="00A9472D">
        <w:rPr>
          <w:rFonts w:ascii="David" w:eastAsia="David" w:hAnsi="David" w:cs="David" w:hint="cs"/>
          <w:color w:val="000000"/>
          <w:u w:val="single"/>
          <w:rtl/>
          <w:lang w:bidi="he-IL"/>
        </w:rPr>
        <w:t>אורח חיים יהודי/תרבות ויצירתיות יהודית</w:t>
      </w:r>
    </w:p>
    <w:p w14:paraId="583D9B57"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color w:val="000000"/>
          <w:rtl/>
          <w:lang w:bidi="he-IL"/>
        </w:rPr>
        <w:t xml:space="preserve">מוקד יודאיקה, מוצג </w:t>
      </w:r>
      <w:r w:rsidRPr="00A9472D">
        <w:rPr>
          <w:rFonts w:ascii="David" w:eastAsia="David" w:hAnsi="David" w:cs="David" w:hint="cs"/>
          <w:b/>
          <w:bCs/>
          <w:color w:val="000000"/>
          <w:rtl/>
          <w:lang w:bidi="he-IL"/>
        </w:rPr>
        <w:t xml:space="preserve">קידוש </w:t>
      </w:r>
      <w:r w:rsidRPr="00A9472D">
        <w:rPr>
          <w:rFonts w:ascii="David" w:eastAsia="David" w:hAnsi="David" w:cs="David" w:hint="cs"/>
          <w:b/>
          <w:bCs/>
          <w:color w:val="000000"/>
          <w:lang w:bidi="he-IL"/>
        </w:rPr>
        <w:t>TO GO</w:t>
      </w:r>
    </w:p>
    <w:p w14:paraId="4E7D4CD2"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rtl/>
          <w:lang w:bidi="he-IL"/>
        </w:rPr>
      </w:pPr>
      <w:r w:rsidRPr="00A9472D">
        <w:rPr>
          <w:rFonts w:ascii="David" w:eastAsia="David" w:hAnsi="David" w:cs="David" w:hint="cs"/>
          <w:color w:val="000000"/>
          <w:rtl/>
          <w:lang w:bidi="he-IL"/>
        </w:rPr>
        <w:t xml:space="preserve">מוקד יודאיקה, מוצג </w:t>
      </w:r>
      <w:r w:rsidRPr="00A9472D">
        <w:rPr>
          <w:rFonts w:ascii="David" w:eastAsia="David" w:hAnsi="David" w:cs="David" w:hint="cs"/>
          <w:b/>
          <w:bCs/>
          <w:color w:val="000000"/>
          <w:rtl/>
          <w:lang w:bidi="he-IL"/>
        </w:rPr>
        <w:t>חנוכיית חנו-</w:t>
      </w:r>
      <w:r w:rsidRPr="00A9472D">
        <w:rPr>
          <w:rFonts w:ascii="David" w:eastAsia="David" w:hAnsi="David" w:cs="David" w:hint="cs"/>
          <w:b/>
          <w:bCs/>
          <w:color w:val="000000"/>
          <w:lang w:bidi="he-IL"/>
        </w:rPr>
        <w:t>KIT</w:t>
      </w:r>
    </w:p>
    <w:p w14:paraId="37F8E390"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rtl/>
          <w:lang w:bidi="he-IL"/>
        </w:rPr>
      </w:pPr>
    </w:p>
    <w:p w14:paraId="623EEBE5"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u w:val="single"/>
          <w:rtl/>
          <w:lang w:bidi="he-IL"/>
        </w:rPr>
      </w:pPr>
      <w:r w:rsidRPr="00A9472D">
        <w:rPr>
          <w:rFonts w:ascii="David" w:eastAsia="David" w:hAnsi="David" w:cs="David" w:hint="cs"/>
          <w:b/>
          <w:bCs/>
          <w:color w:val="000000"/>
          <w:u w:val="single"/>
          <w:rtl/>
          <w:lang w:bidi="he-IL"/>
        </w:rPr>
        <w:t>קומה 2</w:t>
      </w:r>
    </w:p>
    <w:p w14:paraId="22EC8F34"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color w:val="000000"/>
          <w:rtl/>
          <w:lang w:bidi="he-IL"/>
        </w:rPr>
        <w:t xml:space="preserve">*הקומה כולה עוסקת בזיכרון היסטורי ועל כן לצד העיסוק המובהק בנכס הזיקה לישראל, תתייחס ההדרכה גם לנכס הזיכרון. </w:t>
      </w:r>
    </w:p>
    <w:p w14:paraId="683E7DA7" w14:textId="77777777" w:rsidR="007F107B" w:rsidRPr="00A9472D" w:rsidRDefault="007F107B" w:rsidP="004D1925">
      <w:pPr>
        <w:pStyle w:val="NormalWeb"/>
        <w:numPr>
          <w:ilvl w:val="0"/>
          <w:numId w:val="1"/>
        </w:numPr>
        <w:shd w:val="clear" w:color="auto" w:fill="FFFFFF"/>
        <w:bidi/>
        <w:spacing w:before="120" w:beforeAutospacing="0" w:after="120" w:afterAutospacing="0" w:line="360" w:lineRule="auto"/>
        <w:ind w:leftChars="0" w:left="0" w:firstLineChars="0"/>
        <w:contextualSpacing/>
        <w:jc w:val="both"/>
        <w:rPr>
          <w:rFonts w:ascii="David" w:eastAsia="David" w:hAnsi="David" w:cs="David"/>
          <w:color w:val="000000"/>
          <w:u w:val="single"/>
          <w:lang w:bidi="he-IL"/>
        </w:rPr>
      </w:pPr>
      <w:r w:rsidRPr="00A9472D">
        <w:rPr>
          <w:rFonts w:ascii="David" w:eastAsia="David" w:hAnsi="David" w:cs="David" w:hint="cs"/>
          <w:color w:val="000000"/>
          <w:u w:val="single"/>
          <w:rtl/>
          <w:lang w:bidi="he-IL"/>
        </w:rPr>
        <w:t>זיקה למדינת ישראל וחיבור רבגוני לישראל</w:t>
      </w:r>
    </w:p>
    <w:p w14:paraId="40675F9C"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מוקד המודרנה- אזור תנועות פוליטיות</w:t>
      </w:r>
      <w:r w:rsidRPr="00A9472D">
        <w:rPr>
          <w:rFonts w:ascii="David" w:eastAsia="David" w:hAnsi="David" w:cs="David" w:hint="cs"/>
          <w:color w:val="000000"/>
          <w:rtl/>
          <w:lang w:bidi="he-IL"/>
        </w:rPr>
        <w:t xml:space="preserve"> (ולא רק ציונות) </w:t>
      </w:r>
      <w:r w:rsidRPr="00A9472D">
        <w:rPr>
          <w:rFonts w:ascii="David" w:eastAsia="David" w:hAnsi="David" w:cs="David"/>
          <w:color w:val="000000"/>
          <w:rtl/>
          <w:lang w:bidi="he-IL"/>
        </w:rPr>
        <w:t>–</w:t>
      </w:r>
      <w:r w:rsidRPr="00A9472D">
        <w:rPr>
          <w:rFonts w:ascii="David" w:eastAsia="David" w:hAnsi="David" w:cs="David" w:hint="cs"/>
          <w:color w:val="000000"/>
          <w:rtl/>
          <w:lang w:bidi="he-IL"/>
        </w:rPr>
        <w:t xml:space="preserve"> היצג של מגוון דעות בנוגע למקומם ושייכותם של היהודים בעולם, ע''פ תמונת מצב במאה ה19.</w:t>
      </w:r>
    </w:p>
    <w:p w14:paraId="58CBCBBF"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מוקד המודרנה- מכתבו של ג'ורג' וושינגטון לקהילת טורו</w:t>
      </w:r>
      <w:r w:rsidRPr="00A9472D">
        <w:rPr>
          <w:rFonts w:ascii="David" w:eastAsia="David" w:hAnsi="David" w:cs="David" w:hint="cs"/>
          <w:color w:val="000000"/>
          <w:rtl/>
          <w:lang w:bidi="he-IL"/>
        </w:rPr>
        <w:t xml:space="preserve"> </w:t>
      </w:r>
      <w:r w:rsidRPr="00A9472D">
        <w:rPr>
          <w:rFonts w:ascii="David" w:eastAsia="David" w:hAnsi="David" w:cs="David"/>
          <w:color w:val="000000"/>
          <w:rtl/>
          <w:lang w:bidi="he-IL"/>
        </w:rPr>
        <w:t>–</w:t>
      </w:r>
      <w:r w:rsidRPr="00A9472D">
        <w:rPr>
          <w:rFonts w:ascii="David" w:eastAsia="David" w:hAnsi="David" w:cs="David" w:hint="cs"/>
          <w:color w:val="000000"/>
          <w:rtl/>
          <w:lang w:bidi="he-IL"/>
        </w:rPr>
        <w:t xml:space="preserve"> מורכבותה של נאמנות לישראל לצד הנאמנות למקום המגורים. היכולת הדואלית להיות נאמנים לעולם היהודי (קיומו של בית הכנסת ושמירת אורח חיים יהודי גם לאחר גירוש ספרד) לצד הנאמנות לממשל המקומי. </w:t>
      </w:r>
    </w:p>
    <w:p w14:paraId="1D5443B1"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color w:val="000000"/>
          <w:rtl/>
          <w:lang w:bidi="he-IL"/>
        </w:rPr>
        <w:t xml:space="preserve">מוקד </w:t>
      </w:r>
      <w:r w:rsidRPr="00A9472D">
        <w:rPr>
          <w:rFonts w:ascii="David" w:eastAsia="David" w:hAnsi="David" w:cs="David" w:hint="cs"/>
          <w:b/>
          <w:bCs/>
          <w:color w:val="000000"/>
          <w:rtl/>
          <w:lang w:bidi="he-IL"/>
        </w:rPr>
        <w:t>קומ</w:t>
      </w:r>
      <w:r w:rsidRPr="00A9472D">
        <w:rPr>
          <w:rFonts w:ascii="David" w:eastAsia="David" w:hAnsi="David" w:cs="David" w:hint="cs"/>
          <w:color w:val="000000"/>
          <w:rtl/>
          <w:lang w:bidi="he-IL"/>
        </w:rPr>
        <w:t>.</w:t>
      </w:r>
      <w:r w:rsidRPr="00A9472D">
        <w:rPr>
          <w:rFonts w:ascii="David" w:eastAsia="David" w:hAnsi="David" w:cs="David" w:hint="cs"/>
          <w:b/>
          <w:bCs/>
          <w:color w:val="000000"/>
          <w:rtl/>
          <w:lang w:bidi="he-IL"/>
        </w:rPr>
        <w:t>יוניטי</w:t>
      </w:r>
      <w:r w:rsidRPr="00A9472D">
        <w:rPr>
          <w:rFonts w:ascii="David" w:eastAsia="David" w:hAnsi="David" w:cs="David" w:hint="cs"/>
          <w:color w:val="000000"/>
          <w:rtl/>
          <w:lang w:bidi="he-IL"/>
        </w:rPr>
        <w:t xml:space="preserve"> </w:t>
      </w:r>
      <w:r w:rsidRPr="00A9472D">
        <w:rPr>
          <w:rFonts w:ascii="David" w:eastAsia="David" w:hAnsi="David" w:cs="David"/>
          <w:color w:val="000000"/>
          <w:rtl/>
          <w:lang w:bidi="he-IL"/>
        </w:rPr>
        <w:t>–</w:t>
      </w:r>
      <w:r w:rsidRPr="00A9472D">
        <w:rPr>
          <w:rFonts w:ascii="David" w:eastAsia="David" w:hAnsi="David" w:cs="David" w:hint="cs"/>
          <w:color w:val="000000"/>
          <w:rtl/>
          <w:lang w:bidi="he-IL"/>
        </w:rPr>
        <w:t xml:space="preserve"> היווצרותן של קהילות יהודיות ע''פ מאפיינים שונים וחדשים במאה ה21. השאלה לאן המודל עוד ימשיך להתפתח ומה דעתנו על כך?</w:t>
      </w:r>
    </w:p>
    <w:p w14:paraId="44B5A6F5"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p>
    <w:p w14:paraId="07D2CDB0"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u w:val="single"/>
          <w:rtl/>
          <w:lang w:bidi="he-IL"/>
        </w:rPr>
      </w:pPr>
      <w:r w:rsidRPr="00A9472D">
        <w:rPr>
          <w:rFonts w:ascii="David" w:eastAsia="David" w:hAnsi="David" w:cs="David" w:hint="cs"/>
          <w:b/>
          <w:bCs/>
          <w:color w:val="000000"/>
          <w:u w:val="single"/>
          <w:rtl/>
          <w:lang w:bidi="he-IL"/>
        </w:rPr>
        <w:t>קומה 1</w:t>
      </w:r>
    </w:p>
    <w:p w14:paraId="3D2993C2"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color w:val="000000"/>
          <w:rtl/>
          <w:lang w:bidi="he-IL"/>
        </w:rPr>
        <w:t>אז מה מחבר בינינו בכלל? סיכום על רעיון העמיות כגורם מחבר</w:t>
      </w:r>
    </w:p>
    <w:p w14:paraId="7F164381"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rtl/>
          <w:lang w:bidi="he-IL"/>
        </w:rPr>
      </w:pPr>
      <w:r w:rsidRPr="00A9472D">
        <w:rPr>
          <w:rFonts w:ascii="David" w:eastAsia="David" w:hAnsi="David" w:cs="David" w:hint="cs"/>
          <w:b/>
          <w:bCs/>
          <w:color w:val="000000"/>
          <w:rtl/>
          <w:lang w:bidi="he-IL"/>
        </w:rPr>
        <w:t>מוקד השבת- 143 שעות ו"לבד על הגג"</w:t>
      </w:r>
    </w:p>
    <w:p w14:paraId="14289763" w14:textId="77777777" w:rsidR="007F107B"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rtl/>
          <w:lang w:bidi="he-IL"/>
        </w:rPr>
      </w:pPr>
      <w:r w:rsidRPr="00A9472D">
        <w:rPr>
          <w:rFonts w:ascii="David" w:eastAsia="David" w:hAnsi="David" w:cs="David" w:hint="cs"/>
          <w:b/>
          <w:bCs/>
          <w:color w:val="000000"/>
          <w:rtl/>
          <w:lang w:bidi="he-IL"/>
        </w:rPr>
        <w:t>מוקד מעגל השנה</w:t>
      </w:r>
    </w:p>
    <w:p w14:paraId="74447D9D" w14:textId="77777777" w:rsidR="007F107B"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rtl/>
          <w:lang w:bidi="he-IL"/>
        </w:rPr>
      </w:pPr>
    </w:p>
    <w:p w14:paraId="734D7DAD" w14:textId="77777777" w:rsidR="007F107B"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rtl/>
          <w:lang w:bidi="he-IL"/>
        </w:rPr>
      </w:pPr>
    </w:p>
    <w:p w14:paraId="1AE9117C" w14:textId="77777777" w:rsidR="004D1925" w:rsidRPr="00EB20F9" w:rsidRDefault="004D1925"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rtl/>
          <w:lang w:bidi="he-IL"/>
        </w:rPr>
      </w:pPr>
      <w:r w:rsidRPr="00EB20F9">
        <w:rPr>
          <w:rFonts w:ascii="David" w:eastAsia="David" w:hAnsi="David" w:cs="David" w:hint="cs"/>
          <w:b/>
          <w:bCs/>
          <w:color w:val="000000"/>
          <w:rtl/>
          <w:lang w:bidi="he-IL"/>
        </w:rPr>
        <w:t>סיכום</w:t>
      </w:r>
    </w:p>
    <w:p w14:paraId="7A508687" w14:textId="77777777" w:rsidR="004D1925" w:rsidRDefault="004D1925"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Pr>
          <w:rFonts w:ascii="David" w:eastAsia="David" w:hAnsi="David" w:cs="David" w:hint="cs"/>
          <w:color w:val="000000"/>
          <w:rtl/>
          <w:lang w:bidi="he-IL"/>
        </w:rPr>
        <w:t>נחזור שוב על המטרה של הסיור שקיימנו, כבחינת מרחב שמבקש לבטא רעיונות מופשטים באופן ויזואלי ומעשי. מוזיאון הוא ייחודי משום שהוא נשאר כפי שהוא לאורך זמן, גם בעולם משתנה אך התפקיד שלנו כאנשים בעלי תודעה הוא לבחון כל הזמן את העולם היהודי המשתנה סביבנו ולראות בעין מפוקחת כיצד אנחנו עדיין משמרים את הסולידריות הזו והחיבור אליו.</w:t>
      </w:r>
    </w:p>
    <w:p w14:paraId="7E45E9FE" w14:textId="77777777" w:rsidR="004D1925" w:rsidRDefault="004D1925"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p>
    <w:p w14:paraId="5B2EA657" w14:textId="77777777" w:rsidR="004D1925" w:rsidRDefault="004D1925"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p>
    <w:p w14:paraId="27B03531" w14:textId="77777777" w:rsidR="00336464" w:rsidRDefault="00336464"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p>
    <w:p w14:paraId="4DBB9B38"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p>
    <w:p w14:paraId="5AAEE25B" w14:textId="77777777" w:rsidR="007F107B" w:rsidRPr="00A9472D" w:rsidRDefault="007F107B" w:rsidP="00956D4D">
      <w:pPr>
        <w:bidi/>
        <w:spacing w:after="160" w:line="360" w:lineRule="auto"/>
        <w:ind w:leftChars="0" w:left="0" w:firstLineChars="0" w:firstLine="0"/>
        <w:contextualSpacing/>
        <w:jc w:val="both"/>
        <w:rPr>
          <w:rFonts w:ascii="David" w:eastAsia="David" w:hAnsi="David" w:cs="David"/>
          <w:color w:val="000000"/>
        </w:rPr>
      </w:pPr>
    </w:p>
    <w:p w14:paraId="022EAD61" w14:textId="77777777" w:rsidR="007F107B" w:rsidRPr="00A9472D" w:rsidRDefault="007F107B" w:rsidP="004D1925">
      <w:pPr>
        <w:spacing w:line="360" w:lineRule="auto"/>
        <w:ind w:leftChars="0" w:left="2" w:hanging="2"/>
        <w:contextualSpacing/>
        <w:jc w:val="both"/>
        <w:rPr>
          <w:rFonts w:ascii="David" w:eastAsia="David" w:hAnsi="David" w:cs="David"/>
        </w:rPr>
      </w:pPr>
    </w:p>
    <w:bookmarkEnd w:id="0"/>
    <w:p w14:paraId="53BE206E" w14:textId="77777777" w:rsidR="00880061" w:rsidRDefault="00880061" w:rsidP="004D1925">
      <w:pPr>
        <w:ind w:left="0" w:hanging="2"/>
        <w:jc w:val="both"/>
      </w:pPr>
    </w:p>
    <w:sectPr w:rsidR="00880061">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DDD9A" w14:textId="77777777" w:rsidR="00924805" w:rsidRDefault="00672738">
      <w:pPr>
        <w:spacing w:line="240" w:lineRule="auto"/>
        <w:ind w:left="0" w:hanging="2"/>
      </w:pPr>
      <w:r>
        <w:separator/>
      </w:r>
    </w:p>
  </w:endnote>
  <w:endnote w:type="continuationSeparator" w:id="0">
    <w:p w14:paraId="1BF8FA02" w14:textId="77777777" w:rsidR="00924805" w:rsidRDefault="006727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7157A" w14:textId="77777777" w:rsidR="0068601C" w:rsidRDefault="00267F97">
    <w:pPr>
      <w:pStyle w:val="a5"/>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958126"/>
      <w:docPartObj>
        <w:docPartGallery w:val="Page Numbers (Bottom of Page)"/>
        <w:docPartUnique/>
      </w:docPartObj>
    </w:sdtPr>
    <w:sdtEndPr/>
    <w:sdtContent>
      <w:p w14:paraId="1608E878" w14:textId="77777777" w:rsidR="0003208C" w:rsidRDefault="004D1925">
        <w:pPr>
          <w:pStyle w:val="a5"/>
          <w:ind w:hanging="2"/>
          <w:jc w:val="center"/>
        </w:pPr>
        <w:r>
          <w:fldChar w:fldCharType="begin"/>
        </w:r>
        <w:r>
          <w:instrText>PAGE   \* MERGEFORMAT</w:instrText>
        </w:r>
        <w:r>
          <w:fldChar w:fldCharType="separate"/>
        </w:r>
        <w:r>
          <w:rPr>
            <w:rtl/>
            <w:lang w:val="he-IL" w:bidi="he-IL"/>
          </w:rPr>
          <w:t>2</w:t>
        </w:r>
        <w:r>
          <w:fldChar w:fldCharType="end"/>
        </w:r>
      </w:p>
    </w:sdtContent>
  </w:sdt>
  <w:p w14:paraId="6ECB03CE" w14:textId="77777777" w:rsidR="00571A25" w:rsidRDefault="00267F97">
    <w:pPr>
      <w:pBdr>
        <w:top w:val="nil"/>
        <w:left w:val="nil"/>
        <w:bottom w:val="nil"/>
        <w:right w:val="nil"/>
        <w:between w:val="nil"/>
      </w:pBdr>
      <w:tabs>
        <w:tab w:val="center" w:pos="4153"/>
        <w:tab w:val="right" w:pos="8306"/>
      </w:tabs>
      <w:spacing w:line="240" w:lineRule="auto"/>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26FE" w14:textId="77777777" w:rsidR="0068601C" w:rsidRDefault="00267F97">
    <w:pPr>
      <w:pStyle w:val="a5"/>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5BC68" w14:textId="77777777" w:rsidR="00924805" w:rsidRDefault="00672738">
      <w:pPr>
        <w:spacing w:line="240" w:lineRule="auto"/>
        <w:ind w:left="0" w:hanging="2"/>
      </w:pPr>
      <w:r>
        <w:separator/>
      </w:r>
    </w:p>
  </w:footnote>
  <w:footnote w:type="continuationSeparator" w:id="0">
    <w:p w14:paraId="3B632AAF" w14:textId="77777777" w:rsidR="00924805" w:rsidRDefault="0067273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5CF1" w14:textId="77777777" w:rsidR="0068601C" w:rsidRDefault="00267F97">
    <w:pPr>
      <w:pStyle w:val="a3"/>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3F50" w14:textId="77777777" w:rsidR="00571A25" w:rsidRDefault="004D1925">
    <w:pPr>
      <w:pBdr>
        <w:top w:val="nil"/>
        <w:left w:val="nil"/>
        <w:bottom w:val="nil"/>
        <w:right w:val="nil"/>
        <w:between w:val="nil"/>
      </w:pBdr>
      <w:tabs>
        <w:tab w:val="center" w:pos="4153"/>
        <w:tab w:val="right" w:pos="8306"/>
      </w:tabs>
      <w:spacing w:line="240" w:lineRule="auto"/>
      <w:ind w:left="0" w:hanging="2"/>
      <w:jc w:val="right"/>
      <w:rPr>
        <w:color w:val="000000"/>
      </w:rPr>
    </w:pPr>
    <w:r>
      <w:rPr>
        <w:noProof/>
        <w:color w:val="000000"/>
      </w:rPr>
      <w:drawing>
        <wp:inline distT="0" distB="0" distL="0" distR="0" wp14:anchorId="5CDEAC2D" wp14:editId="65803348">
          <wp:extent cx="2679896" cy="631215"/>
          <wp:effectExtent l="0" t="0" r="635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אנו.jpg"/>
                  <pic:cNvPicPr/>
                </pic:nvPicPr>
                <pic:blipFill>
                  <a:blip r:embed="rId1">
                    <a:extLst>
                      <a:ext uri="{28A0092B-C50C-407E-A947-70E740481C1C}">
                        <a14:useLocalDpi xmlns:a14="http://schemas.microsoft.com/office/drawing/2010/main" val="0"/>
                      </a:ext>
                    </a:extLst>
                  </a:blip>
                  <a:stretch>
                    <a:fillRect/>
                  </a:stretch>
                </pic:blipFill>
                <pic:spPr>
                  <a:xfrm>
                    <a:off x="0" y="0"/>
                    <a:ext cx="2721033" cy="640904"/>
                  </a:xfrm>
                  <a:prstGeom prst="rect">
                    <a:avLst/>
                  </a:prstGeom>
                </pic:spPr>
              </pic:pic>
            </a:graphicData>
          </a:graphic>
        </wp:inline>
      </w:drawing>
    </w:r>
    <w:r>
      <w:rPr>
        <w:noProof/>
        <w:color w:val="000000"/>
      </w:rPr>
      <w:drawing>
        <wp:anchor distT="0" distB="0" distL="114300" distR="114300" simplePos="0" relativeHeight="251659264" behindDoc="0" locked="0" layoutInCell="1" hidden="0" allowOverlap="1" wp14:anchorId="023C3171" wp14:editId="5A417F2F">
          <wp:simplePos x="0" y="0"/>
          <wp:positionH relativeFrom="leftMargin">
            <wp:posOffset>4893945</wp:posOffset>
          </wp:positionH>
          <wp:positionV relativeFrom="topMargin">
            <wp:posOffset>-914399</wp:posOffset>
          </wp:positionV>
          <wp:extent cx="1520825" cy="900430"/>
          <wp:effectExtent l="0" t="0" r="0" b="0"/>
          <wp:wrapSquare wrapText="bothSides" distT="0" distB="0" distL="114300" distR="114300"/>
          <wp:docPr id="10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520825" cy="900430"/>
                  </a:xfrm>
                  <a:prstGeom prst="rect">
                    <a:avLst/>
                  </a:prstGeom>
                  <a:ln/>
                </pic:spPr>
              </pic:pic>
            </a:graphicData>
          </a:graphic>
        </wp:anchor>
      </w:drawing>
    </w:r>
    <w:r>
      <w:rPr>
        <w:noProof/>
        <w:color w:val="000000"/>
      </w:rPr>
      <w:drawing>
        <wp:inline distT="0" distB="0" distL="114300" distR="114300" wp14:anchorId="1DB924B1" wp14:editId="62C15305">
          <wp:extent cx="2914650" cy="661670"/>
          <wp:effectExtent l="0" t="0" r="0" b="0"/>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914650" cy="6616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9256C" w14:textId="77777777" w:rsidR="0068601C" w:rsidRDefault="00267F97">
    <w:pPr>
      <w:pStyle w:val="a3"/>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A08B4"/>
    <w:multiLevelType w:val="hybridMultilevel"/>
    <w:tmpl w:val="1E26083E"/>
    <w:lvl w:ilvl="0" w:tplc="20000001">
      <w:start w:val="1"/>
      <w:numFmt w:val="bullet"/>
      <w:lvlText w:val=""/>
      <w:lvlJc w:val="left"/>
      <w:pPr>
        <w:ind w:left="718" w:hanging="360"/>
      </w:pPr>
      <w:rPr>
        <w:rFonts w:ascii="Symbol" w:hAnsi="Symbol" w:hint="default"/>
      </w:rPr>
    </w:lvl>
    <w:lvl w:ilvl="1" w:tplc="20000003" w:tentative="1">
      <w:start w:val="1"/>
      <w:numFmt w:val="bullet"/>
      <w:lvlText w:val="o"/>
      <w:lvlJc w:val="left"/>
      <w:pPr>
        <w:ind w:left="1438" w:hanging="360"/>
      </w:pPr>
      <w:rPr>
        <w:rFonts w:ascii="Courier New" w:hAnsi="Courier New" w:cs="Courier New" w:hint="default"/>
      </w:rPr>
    </w:lvl>
    <w:lvl w:ilvl="2" w:tplc="20000005" w:tentative="1">
      <w:start w:val="1"/>
      <w:numFmt w:val="bullet"/>
      <w:lvlText w:val=""/>
      <w:lvlJc w:val="left"/>
      <w:pPr>
        <w:ind w:left="2158" w:hanging="360"/>
      </w:pPr>
      <w:rPr>
        <w:rFonts w:ascii="Wingdings" w:hAnsi="Wingdings" w:hint="default"/>
      </w:rPr>
    </w:lvl>
    <w:lvl w:ilvl="3" w:tplc="20000001" w:tentative="1">
      <w:start w:val="1"/>
      <w:numFmt w:val="bullet"/>
      <w:lvlText w:val=""/>
      <w:lvlJc w:val="left"/>
      <w:pPr>
        <w:ind w:left="2878" w:hanging="360"/>
      </w:pPr>
      <w:rPr>
        <w:rFonts w:ascii="Symbol" w:hAnsi="Symbol" w:hint="default"/>
      </w:rPr>
    </w:lvl>
    <w:lvl w:ilvl="4" w:tplc="20000003" w:tentative="1">
      <w:start w:val="1"/>
      <w:numFmt w:val="bullet"/>
      <w:lvlText w:val="o"/>
      <w:lvlJc w:val="left"/>
      <w:pPr>
        <w:ind w:left="3598" w:hanging="360"/>
      </w:pPr>
      <w:rPr>
        <w:rFonts w:ascii="Courier New" w:hAnsi="Courier New" w:cs="Courier New" w:hint="default"/>
      </w:rPr>
    </w:lvl>
    <w:lvl w:ilvl="5" w:tplc="20000005" w:tentative="1">
      <w:start w:val="1"/>
      <w:numFmt w:val="bullet"/>
      <w:lvlText w:val=""/>
      <w:lvlJc w:val="left"/>
      <w:pPr>
        <w:ind w:left="4318" w:hanging="360"/>
      </w:pPr>
      <w:rPr>
        <w:rFonts w:ascii="Wingdings" w:hAnsi="Wingdings" w:hint="default"/>
      </w:rPr>
    </w:lvl>
    <w:lvl w:ilvl="6" w:tplc="20000001" w:tentative="1">
      <w:start w:val="1"/>
      <w:numFmt w:val="bullet"/>
      <w:lvlText w:val=""/>
      <w:lvlJc w:val="left"/>
      <w:pPr>
        <w:ind w:left="5038" w:hanging="360"/>
      </w:pPr>
      <w:rPr>
        <w:rFonts w:ascii="Symbol" w:hAnsi="Symbol" w:hint="default"/>
      </w:rPr>
    </w:lvl>
    <w:lvl w:ilvl="7" w:tplc="20000003" w:tentative="1">
      <w:start w:val="1"/>
      <w:numFmt w:val="bullet"/>
      <w:lvlText w:val="o"/>
      <w:lvlJc w:val="left"/>
      <w:pPr>
        <w:ind w:left="5758" w:hanging="360"/>
      </w:pPr>
      <w:rPr>
        <w:rFonts w:ascii="Courier New" w:hAnsi="Courier New" w:cs="Courier New" w:hint="default"/>
      </w:rPr>
    </w:lvl>
    <w:lvl w:ilvl="8" w:tplc="20000005" w:tentative="1">
      <w:start w:val="1"/>
      <w:numFmt w:val="bullet"/>
      <w:lvlText w:val=""/>
      <w:lvlJc w:val="left"/>
      <w:pPr>
        <w:ind w:left="6478" w:hanging="360"/>
      </w:pPr>
      <w:rPr>
        <w:rFonts w:ascii="Wingdings" w:hAnsi="Wingdings" w:hint="default"/>
      </w:rPr>
    </w:lvl>
  </w:abstractNum>
  <w:abstractNum w:abstractNumId="1" w15:restartNumberingAfterBreak="0">
    <w:nsid w:val="4EB7783A"/>
    <w:multiLevelType w:val="hybridMultilevel"/>
    <w:tmpl w:val="D1EE4232"/>
    <w:lvl w:ilvl="0" w:tplc="B150E744">
      <w:numFmt w:val="bullet"/>
      <w:lvlText w:val=""/>
      <w:lvlJc w:val="left"/>
      <w:pPr>
        <w:ind w:left="358" w:hanging="360"/>
      </w:pPr>
      <w:rPr>
        <w:rFonts w:ascii="Symbol" w:eastAsia="David" w:hAnsi="Symbol" w:cs="David" w:hint="default"/>
      </w:rPr>
    </w:lvl>
    <w:lvl w:ilvl="1" w:tplc="10000003" w:tentative="1">
      <w:start w:val="1"/>
      <w:numFmt w:val="bullet"/>
      <w:lvlText w:val="o"/>
      <w:lvlJc w:val="left"/>
      <w:pPr>
        <w:ind w:left="1078" w:hanging="360"/>
      </w:pPr>
      <w:rPr>
        <w:rFonts w:ascii="Courier New" w:hAnsi="Courier New" w:cs="Courier New" w:hint="default"/>
      </w:rPr>
    </w:lvl>
    <w:lvl w:ilvl="2" w:tplc="10000005" w:tentative="1">
      <w:start w:val="1"/>
      <w:numFmt w:val="bullet"/>
      <w:lvlText w:val=""/>
      <w:lvlJc w:val="left"/>
      <w:pPr>
        <w:ind w:left="1798" w:hanging="360"/>
      </w:pPr>
      <w:rPr>
        <w:rFonts w:ascii="Wingdings" w:hAnsi="Wingdings" w:hint="default"/>
      </w:rPr>
    </w:lvl>
    <w:lvl w:ilvl="3" w:tplc="10000001" w:tentative="1">
      <w:start w:val="1"/>
      <w:numFmt w:val="bullet"/>
      <w:lvlText w:val=""/>
      <w:lvlJc w:val="left"/>
      <w:pPr>
        <w:ind w:left="2518" w:hanging="360"/>
      </w:pPr>
      <w:rPr>
        <w:rFonts w:ascii="Symbol" w:hAnsi="Symbol" w:hint="default"/>
      </w:rPr>
    </w:lvl>
    <w:lvl w:ilvl="4" w:tplc="10000003" w:tentative="1">
      <w:start w:val="1"/>
      <w:numFmt w:val="bullet"/>
      <w:lvlText w:val="o"/>
      <w:lvlJc w:val="left"/>
      <w:pPr>
        <w:ind w:left="3238" w:hanging="360"/>
      </w:pPr>
      <w:rPr>
        <w:rFonts w:ascii="Courier New" w:hAnsi="Courier New" w:cs="Courier New" w:hint="default"/>
      </w:rPr>
    </w:lvl>
    <w:lvl w:ilvl="5" w:tplc="10000005" w:tentative="1">
      <w:start w:val="1"/>
      <w:numFmt w:val="bullet"/>
      <w:lvlText w:val=""/>
      <w:lvlJc w:val="left"/>
      <w:pPr>
        <w:ind w:left="3958" w:hanging="360"/>
      </w:pPr>
      <w:rPr>
        <w:rFonts w:ascii="Wingdings" w:hAnsi="Wingdings" w:hint="default"/>
      </w:rPr>
    </w:lvl>
    <w:lvl w:ilvl="6" w:tplc="10000001" w:tentative="1">
      <w:start w:val="1"/>
      <w:numFmt w:val="bullet"/>
      <w:lvlText w:val=""/>
      <w:lvlJc w:val="left"/>
      <w:pPr>
        <w:ind w:left="4678" w:hanging="360"/>
      </w:pPr>
      <w:rPr>
        <w:rFonts w:ascii="Symbol" w:hAnsi="Symbol" w:hint="default"/>
      </w:rPr>
    </w:lvl>
    <w:lvl w:ilvl="7" w:tplc="10000003" w:tentative="1">
      <w:start w:val="1"/>
      <w:numFmt w:val="bullet"/>
      <w:lvlText w:val="o"/>
      <w:lvlJc w:val="left"/>
      <w:pPr>
        <w:ind w:left="5398" w:hanging="360"/>
      </w:pPr>
      <w:rPr>
        <w:rFonts w:ascii="Courier New" w:hAnsi="Courier New" w:cs="Courier New" w:hint="default"/>
      </w:rPr>
    </w:lvl>
    <w:lvl w:ilvl="8" w:tplc="10000005" w:tentative="1">
      <w:start w:val="1"/>
      <w:numFmt w:val="bullet"/>
      <w:lvlText w:val=""/>
      <w:lvlJc w:val="left"/>
      <w:pPr>
        <w:ind w:left="611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7B"/>
    <w:rsid w:val="00267F97"/>
    <w:rsid w:val="00336464"/>
    <w:rsid w:val="004D1925"/>
    <w:rsid w:val="00672738"/>
    <w:rsid w:val="007F107B"/>
    <w:rsid w:val="00880061"/>
    <w:rsid w:val="008B59C8"/>
    <w:rsid w:val="00924805"/>
    <w:rsid w:val="00956D4D"/>
    <w:rsid w:val="00B64252"/>
    <w:rsid w:val="00DD674C"/>
    <w:rsid w:val="00E117C0"/>
    <w:rsid w:val="00EB20F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7D78"/>
  <w15:chartTrackingRefBased/>
  <w15:docId w15:val="{ABF024E7-76B6-44EE-9782-8333CA67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107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107B"/>
    <w:pPr>
      <w:tabs>
        <w:tab w:val="center" w:pos="4153"/>
        <w:tab w:val="right" w:pos="8306"/>
      </w:tabs>
      <w:ind w:left="0"/>
      <w:jc w:val="right"/>
    </w:pPr>
  </w:style>
  <w:style w:type="character" w:customStyle="1" w:styleId="a4">
    <w:name w:val="כותרת עליונה תו"/>
    <w:basedOn w:val="a0"/>
    <w:link w:val="a3"/>
    <w:rsid w:val="007F107B"/>
    <w:rPr>
      <w:rFonts w:ascii="Times New Roman" w:eastAsia="Times New Roman" w:hAnsi="Times New Roman" w:cs="Times New Roman"/>
      <w:position w:val="-1"/>
      <w:sz w:val="24"/>
      <w:szCs w:val="24"/>
      <w:lang w:val="en-GB" w:eastAsia="zh-CN" w:bidi="ar-SA"/>
    </w:rPr>
  </w:style>
  <w:style w:type="paragraph" w:styleId="a5">
    <w:name w:val="footer"/>
    <w:basedOn w:val="a"/>
    <w:link w:val="a6"/>
    <w:uiPriority w:val="99"/>
    <w:rsid w:val="007F107B"/>
    <w:pPr>
      <w:tabs>
        <w:tab w:val="center" w:pos="4153"/>
        <w:tab w:val="right" w:pos="8306"/>
      </w:tabs>
      <w:ind w:left="0"/>
      <w:jc w:val="right"/>
    </w:pPr>
  </w:style>
  <w:style w:type="character" w:customStyle="1" w:styleId="a6">
    <w:name w:val="כותרת תחתונה תו"/>
    <w:basedOn w:val="a0"/>
    <w:link w:val="a5"/>
    <w:uiPriority w:val="99"/>
    <w:rsid w:val="007F107B"/>
    <w:rPr>
      <w:rFonts w:ascii="Times New Roman" w:eastAsia="Times New Roman" w:hAnsi="Times New Roman" w:cs="Times New Roman"/>
      <w:position w:val="-1"/>
      <w:sz w:val="24"/>
      <w:szCs w:val="24"/>
      <w:lang w:val="en-GB" w:eastAsia="zh-CN" w:bidi="ar-SA"/>
    </w:rPr>
  </w:style>
  <w:style w:type="paragraph" w:styleId="NormalWeb">
    <w:name w:val="Normal (Web)"/>
    <w:basedOn w:val="a"/>
    <w:uiPriority w:val="99"/>
    <w:rsid w:val="007F107B"/>
    <w:pPr>
      <w:spacing w:before="100" w:beforeAutospacing="1" w:after="100" w:afterAutospacing="1"/>
    </w:pPr>
    <w:rPr>
      <w:lang w:val="en-US"/>
    </w:rPr>
  </w:style>
  <w:style w:type="paragraph" w:styleId="a7">
    <w:name w:val="List Paragraph"/>
    <w:basedOn w:val="a"/>
    <w:rsid w:val="007F107B"/>
    <w:pPr>
      <w:spacing w:after="160" w:line="259" w:lineRule="auto"/>
      <w:ind w:left="720"/>
      <w:contextualSpacing/>
    </w:pPr>
    <w:rPr>
      <w:rFonts w:ascii="Calibri" w:eastAsia="Calibri" w:hAnsi="Calibri" w:cs="Arial"/>
      <w:sz w:val="22"/>
      <w:szCs w:val="22"/>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3" ma:contentTypeDescription="Create a new document." ma:contentTypeScope="" ma:versionID="806741296b2a8c0e122f5bcb5ba4edd8">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d536c28c09500aefd8e9af53ca974e44"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AF04E-5675-4B86-8291-7F93EC0885CD}">
  <ds:schemaRefs>
    <ds:schemaRef ds:uri="http://purl.org/dc/elements/1.1/"/>
    <ds:schemaRef ds:uri="ad093f48-124b-42e5-bfe8-9c1cf085a40c"/>
    <ds:schemaRef ds:uri="http://www.w3.org/XML/1998/namespace"/>
    <ds:schemaRef ds:uri="http://schemas.microsoft.com/office/2006/metadata/properties"/>
    <ds:schemaRef ds:uri="4e7dfa89-700a-4513-8ea1-f5e82eef4110"/>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F12E5BB4-2870-4386-9138-9EE9943B519B}">
  <ds:schemaRefs>
    <ds:schemaRef ds:uri="http://schemas.microsoft.com/sharepoint/v3/contenttype/forms"/>
  </ds:schemaRefs>
</ds:datastoreItem>
</file>

<file path=customXml/itemProps3.xml><?xml version="1.0" encoding="utf-8"?>
<ds:datastoreItem xmlns:ds="http://schemas.openxmlformats.org/officeDocument/2006/customXml" ds:itemID="{79CE582A-1715-46BA-B57A-9DA6C650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524</Words>
  <Characters>2988</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הדסה אפרתי</cp:lastModifiedBy>
  <cp:revision>2</cp:revision>
  <dcterms:created xsi:type="dcterms:W3CDTF">2023-07-06T11:04:00Z</dcterms:created>
  <dcterms:modified xsi:type="dcterms:W3CDTF">2023-07-06T11:04:00Z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