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461"/>
        <w:gridCol w:w="7835"/>
      </w:tblGrid>
      <w:tr w:rsidR="00E9251C" w:rsidTr="00E9251C">
        <w:tc>
          <w:tcPr>
            <w:tcW w:w="0" w:type="auto"/>
          </w:tcPr>
          <w:p w:rsidR="00E9251C" w:rsidRDefault="00E9251C" w:rsidP="00E9251C">
            <w:pPr>
              <w:rPr>
                <w:rtl/>
              </w:rPr>
            </w:pPr>
            <w:r>
              <w:rPr>
                <w:rFonts w:hint="cs"/>
                <w:rtl/>
              </w:rPr>
              <w:t>1</w:t>
            </w:r>
          </w:p>
        </w:tc>
        <w:tc>
          <w:tcPr>
            <w:tcW w:w="0" w:type="auto"/>
          </w:tcPr>
          <w:p w:rsidR="00E9251C" w:rsidRDefault="00E9251C" w:rsidP="00E9251C">
            <w:pPr>
              <w:rPr>
                <w:rtl/>
              </w:rPr>
            </w:pPr>
            <w:r>
              <w:rPr>
                <w:rFonts w:hint="cs"/>
                <w:rtl/>
              </w:rPr>
              <w:t>פתיחה על הגעת הקודקס בחוה"מ סוכות, לפני המלחמה</w:t>
            </w:r>
          </w:p>
        </w:tc>
      </w:tr>
      <w:tr w:rsidR="00E9251C" w:rsidTr="00E9251C">
        <w:tc>
          <w:tcPr>
            <w:tcW w:w="0" w:type="auto"/>
          </w:tcPr>
          <w:p w:rsidR="00E9251C" w:rsidRDefault="00E9251C" w:rsidP="00E9251C">
            <w:pPr>
              <w:rPr>
                <w:rtl/>
              </w:rPr>
            </w:pPr>
            <w:r>
              <w:rPr>
                <w:rFonts w:hint="cs"/>
                <w:rtl/>
              </w:rPr>
              <w:t>2</w:t>
            </w:r>
          </w:p>
        </w:tc>
        <w:tc>
          <w:tcPr>
            <w:tcW w:w="0" w:type="auto"/>
          </w:tcPr>
          <w:p w:rsidR="00E9251C" w:rsidRDefault="00E9251C" w:rsidP="00E9251C">
            <w:pPr>
              <w:pStyle w:val="ListParagraph"/>
              <w:numPr>
                <w:ilvl w:val="0"/>
                <w:numId w:val="2"/>
              </w:numPr>
              <w:rPr>
                <w:rtl/>
              </w:rPr>
            </w:pPr>
            <w:r>
              <w:rPr>
                <w:rFonts w:hint="cs"/>
                <w:rtl/>
              </w:rPr>
              <w:t>הכרות: התנ"ך העתיק השלם ביותר</w:t>
            </w:r>
          </w:p>
          <w:p w:rsidR="00E9251C" w:rsidRDefault="00E9251C" w:rsidP="00E9251C">
            <w:pPr>
              <w:pStyle w:val="ListParagraph"/>
              <w:numPr>
                <w:ilvl w:val="0"/>
                <w:numId w:val="2"/>
              </w:numPr>
              <w:rPr>
                <w:rtl/>
              </w:rPr>
            </w:pPr>
            <w:r>
              <w:rPr>
                <w:rFonts w:hint="cs"/>
                <w:rtl/>
              </w:rPr>
              <w:t>תיארוך שלו לתחילת המאה ה10 (פחמן 14, ניתוח מאפייני הכתב-פילאוגרפיה ומתוך הערות המסורה)</w:t>
            </w:r>
          </w:p>
          <w:p w:rsidR="00E9251C" w:rsidRDefault="00E9251C" w:rsidP="00E9251C">
            <w:pPr>
              <w:pStyle w:val="ListParagraph"/>
              <w:numPr>
                <w:ilvl w:val="0"/>
                <w:numId w:val="2"/>
              </w:numPr>
            </w:pPr>
            <w:r>
              <w:rPr>
                <w:rFonts w:hint="cs"/>
                <w:rtl/>
              </w:rPr>
              <w:t xml:space="preserve">בן דורו של כתר ארם צובא, שהנוסח שלו מדוייק יותר אבל הגיע חסר (כ60% מהתנ"ך). </w:t>
            </w:r>
          </w:p>
          <w:p w:rsidR="00E9251C" w:rsidRDefault="00E9251C" w:rsidP="00E9251C">
            <w:pPr>
              <w:pStyle w:val="ListParagraph"/>
              <w:numPr>
                <w:ilvl w:val="0"/>
                <w:numId w:val="2"/>
              </w:numPr>
            </w:pPr>
            <w:r>
              <w:rPr>
                <w:rFonts w:hint="cs"/>
                <w:rtl/>
              </w:rPr>
              <w:t>כולל 24 ספרי התנ"ך, כרוכים בצורת ספר (הוא קודקס, בלטינית), מעיד ששימש לעיון ולא לקריאה ריטואלית</w:t>
            </w:r>
          </w:p>
          <w:p w:rsidR="00E9251C" w:rsidRDefault="00E9251C" w:rsidP="00E9251C">
            <w:pPr>
              <w:pStyle w:val="ListParagraph"/>
              <w:numPr>
                <w:ilvl w:val="0"/>
                <w:numId w:val="2"/>
              </w:numPr>
            </w:pPr>
            <w:r>
              <w:rPr>
                <w:rFonts w:hint="cs"/>
                <w:rtl/>
              </w:rPr>
              <w:t>חסק 10 עמודים ראשונים ובלאי של שולי הדפים בתחלה ובסוף הכרך (סהכ 92% מהטקסט המקראי). ולכן- העתיק השלם ביותר</w:t>
            </w:r>
          </w:p>
          <w:p w:rsidR="00E9251C" w:rsidRDefault="00E9251C" w:rsidP="00E9251C">
            <w:pPr>
              <w:pStyle w:val="ListParagraph"/>
              <w:numPr>
                <w:ilvl w:val="0"/>
                <w:numId w:val="2"/>
              </w:numPr>
            </w:pPr>
            <w:r>
              <w:rPr>
                <w:rFonts w:hint="cs"/>
                <w:rtl/>
              </w:rPr>
              <w:t xml:space="preserve"> בסופו של דבר בדיוק כמו התנ"ך שיש בבית, למעט סדר ספרים שונה בחטיבת הכתובים. ניתן לקריאה גם כיום</w:t>
            </w:r>
          </w:p>
          <w:p w:rsidR="00E9251C" w:rsidRDefault="00E9251C" w:rsidP="00E9251C">
            <w:pPr>
              <w:ind w:left="360"/>
              <w:rPr>
                <w:rtl/>
              </w:rPr>
            </w:pPr>
          </w:p>
        </w:tc>
      </w:tr>
      <w:tr w:rsidR="00E9251C" w:rsidTr="00E9251C">
        <w:tc>
          <w:tcPr>
            <w:tcW w:w="0" w:type="auto"/>
          </w:tcPr>
          <w:p w:rsidR="00E9251C" w:rsidRDefault="00E9251C" w:rsidP="00E9251C">
            <w:pPr>
              <w:rPr>
                <w:rtl/>
              </w:rPr>
            </w:pPr>
            <w:r>
              <w:rPr>
                <w:rFonts w:hint="cs"/>
                <w:rtl/>
              </w:rPr>
              <w:t>3</w:t>
            </w:r>
          </w:p>
        </w:tc>
        <w:tc>
          <w:tcPr>
            <w:tcW w:w="0" w:type="auto"/>
          </w:tcPr>
          <w:p w:rsidR="00E9251C" w:rsidRDefault="00E9251C" w:rsidP="00E9251C">
            <w:pPr>
              <w:pStyle w:val="ListParagraph"/>
              <w:numPr>
                <w:ilvl w:val="0"/>
                <w:numId w:val="3"/>
              </w:numPr>
            </w:pPr>
            <w:r>
              <w:rPr>
                <w:rFonts w:hint="cs"/>
                <w:rtl/>
              </w:rPr>
              <w:t>תמונה ל</w:t>
            </w:r>
            <w:r w:rsidR="00E90F2E">
              <w:rPr>
                <w:rFonts w:hint="cs"/>
                <w:rtl/>
              </w:rPr>
              <w:t>המחשה של חומריות</w:t>
            </w:r>
            <w:r>
              <w:rPr>
                <w:rFonts w:hint="cs"/>
                <w:rtl/>
              </w:rPr>
              <w:t xml:space="preserve"> הספר</w:t>
            </w:r>
            <w:r w:rsidR="00BF13AA">
              <w:rPr>
                <w:rFonts w:hint="cs"/>
                <w:rtl/>
              </w:rPr>
              <w:t xml:space="preserve"> (זה המשמר שלנו, ניל מקמנוס, מציב את הספר בתצוגה במרץ האחרון)</w:t>
            </w:r>
            <w:r>
              <w:rPr>
                <w:rFonts w:hint="cs"/>
                <w:rtl/>
              </w:rPr>
              <w:t>. 792 עמודי קלף, כ12 קילוגרם</w:t>
            </w:r>
          </w:p>
          <w:p w:rsidR="00E9251C" w:rsidRDefault="00E9251C" w:rsidP="00E9251C">
            <w:pPr>
              <w:pStyle w:val="ListParagraph"/>
              <w:numPr>
                <w:ilvl w:val="0"/>
                <w:numId w:val="3"/>
              </w:numPr>
            </w:pPr>
            <w:r>
              <w:rPr>
                <w:rFonts w:hint="cs"/>
                <w:rtl/>
              </w:rPr>
              <w:t>נדרשו מאות כבשים כדי להפיק אותו, כתיבתו ארכה ככל הנראה כמה שנים. הפקה יקרה של הספר, לא מוצר שהיה בכל בית. יקר כלכלית ולפיק ויקר המציאות לשמירה</w:t>
            </w:r>
          </w:p>
          <w:p w:rsidR="00E9251C" w:rsidRDefault="00E9251C" w:rsidP="00E9251C">
            <w:pPr>
              <w:pStyle w:val="ListParagraph"/>
              <w:numPr>
                <w:ilvl w:val="0"/>
                <w:numId w:val="3"/>
              </w:numPr>
            </w:pPr>
            <w:r>
              <w:rPr>
                <w:rFonts w:hint="cs"/>
                <w:rtl/>
              </w:rPr>
              <w:t>הספר נכתב כולו בידי סופר אחד- לפי ניתוח מאפייני הכתב</w:t>
            </w:r>
          </w:p>
          <w:p w:rsidR="00E9251C" w:rsidRDefault="00E9251C" w:rsidP="00E9251C">
            <w:pPr>
              <w:pStyle w:val="ListParagraph"/>
              <w:numPr>
                <w:ilvl w:val="0"/>
                <w:numId w:val="3"/>
              </w:numPr>
            </w:pPr>
            <w:r>
              <w:rPr>
                <w:rFonts w:hint="cs"/>
                <w:rtl/>
              </w:rPr>
              <w:t>עבדו עליו לפחות עוד שני אנשים.</w:t>
            </w:r>
          </w:p>
          <w:p w:rsidR="00E9251C" w:rsidRDefault="00B737E9" w:rsidP="00E9251C">
            <w:pPr>
              <w:pStyle w:val="ListParagraph"/>
              <w:numPr>
                <w:ilvl w:val="0"/>
                <w:numId w:val="3"/>
              </w:numPr>
              <w:rPr>
                <w:rtl/>
              </w:rPr>
            </w:pPr>
            <w:r>
              <w:rPr>
                <w:rFonts w:hint="cs"/>
                <w:rtl/>
              </w:rPr>
              <w:t xml:space="preserve">לא יודעים </w:t>
            </w:r>
            <w:r w:rsidR="00E9251C">
              <w:rPr>
                <w:rFonts w:hint="cs"/>
                <w:rtl/>
              </w:rPr>
              <w:t>דבר</w:t>
            </w:r>
            <w:r>
              <w:rPr>
                <w:rFonts w:hint="cs"/>
                <w:rtl/>
              </w:rPr>
              <w:t xml:space="preserve"> על האנשים שעבדו על הקודקס או על מי שהזמין אותו</w:t>
            </w:r>
            <w:r w:rsidR="00E9251C">
              <w:rPr>
                <w:rFonts w:hint="cs"/>
                <w:rtl/>
              </w:rPr>
              <w:t>, מפני שאם הם כתבו טקסט אישי כמו קולופון הרי שהוא לא נשמר (אולי אבד בעמודים הראשונים)</w:t>
            </w:r>
          </w:p>
        </w:tc>
      </w:tr>
      <w:tr w:rsidR="00E9251C" w:rsidTr="00E9251C">
        <w:tc>
          <w:tcPr>
            <w:tcW w:w="0" w:type="auto"/>
          </w:tcPr>
          <w:p w:rsidR="00E9251C" w:rsidRDefault="00E9251C" w:rsidP="00E9251C">
            <w:pPr>
              <w:rPr>
                <w:rtl/>
              </w:rPr>
            </w:pPr>
            <w:r>
              <w:rPr>
                <w:rFonts w:hint="cs"/>
                <w:rtl/>
              </w:rPr>
              <w:t>4</w:t>
            </w:r>
          </w:p>
        </w:tc>
        <w:tc>
          <w:tcPr>
            <w:tcW w:w="0" w:type="auto"/>
          </w:tcPr>
          <w:p w:rsidR="00E9251C" w:rsidRDefault="00E9251C" w:rsidP="00E9251C">
            <w:r>
              <w:rPr>
                <w:rFonts w:hint="cs"/>
                <w:rtl/>
              </w:rPr>
              <w:t>כך נראית כפולה מייצגת:</w:t>
            </w:r>
          </w:p>
          <w:p w:rsidR="00E9251C" w:rsidRDefault="00E9251C" w:rsidP="00E9251C">
            <w:pPr>
              <w:pStyle w:val="ListParagraph"/>
              <w:numPr>
                <w:ilvl w:val="0"/>
                <w:numId w:val="4"/>
              </w:numPr>
            </w:pPr>
            <w:r>
              <w:rPr>
                <w:rFonts w:hint="cs"/>
                <w:rtl/>
              </w:rPr>
              <w:t>טקסט מקראי, לרוב ב3 טורים מקבילים, כולל ניקוד וטעמי המקרא</w:t>
            </w:r>
          </w:p>
          <w:p w:rsidR="00E9251C" w:rsidRDefault="00E9251C" w:rsidP="00536E02">
            <w:pPr>
              <w:pStyle w:val="ListParagraph"/>
              <w:numPr>
                <w:ilvl w:val="0"/>
                <w:numId w:val="4"/>
              </w:numPr>
            </w:pPr>
            <w:r>
              <w:rPr>
                <w:rFonts w:hint="cs"/>
                <w:rtl/>
              </w:rPr>
              <w:t>זהו חידוש כי כתבי היד המוקדמים ביותר של המקרא, למשל מגילות הגנוזות</w:t>
            </w:r>
            <w:r w:rsidR="00536E02">
              <w:rPr>
                <w:rFonts w:hint="cs"/>
                <w:rtl/>
              </w:rPr>
              <w:t xml:space="preserve"> (מהמאות הראשונה עד ה</w:t>
            </w:r>
            <w:bookmarkStart w:id="0" w:name="_GoBack"/>
            <w:bookmarkEnd w:id="0"/>
            <w:r w:rsidR="00536E02">
              <w:rPr>
                <w:rFonts w:hint="cs"/>
                <w:rtl/>
              </w:rPr>
              <w:t>שלישית לפני הספירה)</w:t>
            </w:r>
            <w:r>
              <w:rPr>
                <w:rFonts w:hint="cs"/>
                <w:rtl/>
              </w:rPr>
              <w:t>, נכתבו ללא ניקוד או טעמים, בלי אפשרות להבין מהמגילה כיצד מבצעים. כמו ספרי התורה כיום</w:t>
            </w:r>
          </w:p>
          <w:p w:rsidR="009E4677" w:rsidRDefault="00E9251C" w:rsidP="00E9251C">
            <w:pPr>
              <w:pStyle w:val="ListParagraph"/>
              <w:numPr>
                <w:ilvl w:val="0"/>
                <w:numId w:val="4"/>
              </w:numPr>
            </w:pPr>
            <w:r>
              <w:rPr>
                <w:rFonts w:hint="cs"/>
                <w:rtl/>
              </w:rPr>
              <w:t>מסורת זו הועברה בע"פ, עד למאות 6-8, אז החליטו חכמים להוריד אותה לכתב כדי לשמר אותה</w:t>
            </w:r>
            <w:r w:rsidR="009E4677">
              <w:rPr>
                <w:rFonts w:hint="cs"/>
                <w:rtl/>
              </w:rPr>
              <w:t>. מפעל המסורה, מלשון מסורת,שמטרתו לקבע גם נוסח המקרא, גם כדי שלא יפלו טעויות בהעתקה, וגם כדי לקבע את מסורת הקריאה בתורה. התפתחה במקביל בבבל ובטבריה</w:t>
            </w:r>
          </w:p>
          <w:p w:rsidR="00E9251C" w:rsidRDefault="009E4677" w:rsidP="00E9251C">
            <w:pPr>
              <w:pStyle w:val="ListParagraph"/>
              <w:numPr>
                <w:ilvl w:val="0"/>
                <w:numId w:val="4"/>
              </w:numPr>
            </w:pPr>
            <w:r>
              <w:rPr>
                <w:rFonts w:hint="cs"/>
                <w:rtl/>
              </w:rPr>
              <w:t>בבבל הניקוד נכתב מעל המילים, הערות על נוסח המקרא בספרים נפרדים</w:t>
            </w:r>
          </w:p>
          <w:p w:rsidR="009E4677" w:rsidRDefault="009E4677" w:rsidP="00E90F2E">
            <w:pPr>
              <w:pStyle w:val="ListParagraph"/>
              <w:numPr>
                <w:ilvl w:val="0"/>
                <w:numId w:val="4"/>
              </w:numPr>
              <w:rPr>
                <w:rtl/>
              </w:rPr>
            </w:pPr>
          </w:p>
        </w:tc>
      </w:tr>
      <w:tr w:rsidR="00E9251C" w:rsidTr="00E9251C">
        <w:tc>
          <w:tcPr>
            <w:tcW w:w="0" w:type="auto"/>
          </w:tcPr>
          <w:p w:rsidR="00E9251C" w:rsidRDefault="00E9251C" w:rsidP="00E9251C">
            <w:pPr>
              <w:rPr>
                <w:rtl/>
              </w:rPr>
            </w:pPr>
            <w:r>
              <w:rPr>
                <w:rFonts w:hint="cs"/>
                <w:rtl/>
              </w:rPr>
              <w:t>5</w:t>
            </w:r>
          </w:p>
        </w:tc>
        <w:tc>
          <w:tcPr>
            <w:tcW w:w="0" w:type="auto"/>
          </w:tcPr>
          <w:p w:rsidR="00E90F2E" w:rsidRDefault="00E90F2E" w:rsidP="00E90F2E">
            <w:pPr>
              <w:pStyle w:val="ListParagraph"/>
              <w:numPr>
                <w:ilvl w:val="0"/>
                <w:numId w:val="5"/>
              </w:numPr>
            </w:pPr>
            <w:r>
              <w:rPr>
                <w:rFonts w:hint="cs"/>
                <w:rtl/>
              </w:rPr>
              <w:t>קודקס ששון תוצר של המסורת הט</w:t>
            </w:r>
            <w:r>
              <w:rPr>
                <w:rFonts w:asciiTheme="minorBidi" w:hAnsiTheme="minorBidi"/>
                <w:rtl/>
              </w:rPr>
              <w:t>ַ</w:t>
            </w:r>
            <w:r>
              <w:rPr>
                <w:rFonts w:hint="cs"/>
                <w:rtl/>
              </w:rPr>
              <w:t>ב</w:t>
            </w:r>
            <w:r>
              <w:rPr>
                <w:rFonts w:asciiTheme="minorBidi" w:hAnsiTheme="minorBidi"/>
                <w:rtl/>
              </w:rPr>
              <w:t>ְ</w:t>
            </w:r>
            <w:r>
              <w:rPr>
                <w:rFonts w:hint="cs"/>
                <w:rtl/>
              </w:rPr>
              <w:t>ר</w:t>
            </w:r>
            <w:r>
              <w:rPr>
                <w:rFonts w:asciiTheme="minorBidi" w:hAnsiTheme="minorBidi"/>
                <w:rtl/>
              </w:rPr>
              <w:t>ַ</w:t>
            </w:r>
            <w:r>
              <w:rPr>
                <w:rFonts w:hint="cs"/>
                <w:rtl/>
              </w:rPr>
              <w:t>נ</w:t>
            </w:r>
            <w:r>
              <w:rPr>
                <w:rFonts w:asciiTheme="minorBidi" w:hAnsiTheme="minorBidi"/>
                <w:rtl/>
              </w:rPr>
              <w:t>ׅ</w:t>
            </w:r>
            <w:r>
              <w:rPr>
                <w:rFonts w:hint="cs"/>
                <w:rtl/>
              </w:rPr>
              <w:t>ית (טבריה)- ניקוד תחתי, כמו שמקובל עד היום, והערות המסורה על גבי הטקסט המקראי</w:t>
            </w:r>
          </w:p>
          <w:p w:rsidR="00E9251C" w:rsidRDefault="009E4677" w:rsidP="00E90F2E">
            <w:pPr>
              <w:pStyle w:val="ListParagraph"/>
              <w:numPr>
                <w:ilvl w:val="0"/>
                <w:numId w:val="5"/>
              </w:numPr>
            </w:pPr>
            <w:r>
              <w:rPr>
                <w:rFonts w:hint="cs"/>
                <w:rtl/>
              </w:rPr>
              <w:t>מסורה קטנה- הערות בנות אותיות או מילים בודדות בין הטורים. מתייחסות למילים מסויימות בטקסט. המילה מסומנת בעיגול קטן מעלה המילה. ברווח מימין מופיעה ההערה</w:t>
            </w:r>
          </w:p>
          <w:p w:rsidR="009E4677" w:rsidRDefault="009E4677" w:rsidP="00E90F2E">
            <w:pPr>
              <w:pStyle w:val="ListParagraph"/>
              <w:numPr>
                <w:ilvl w:val="0"/>
                <w:numId w:val="5"/>
              </w:numPr>
            </w:pPr>
            <w:r>
              <w:rPr>
                <w:rFonts w:hint="cs"/>
                <w:rtl/>
              </w:rPr>
              <w:t xml:space="preserve">מסורה גדולה- בתחתית או בראש העמוד, פתיחה של הערות המסורה הקטנה. </w:t>
            </w:r>
          </w:p>
          <w:p w:rsidR="009E4677" w:rsidRDefault="009E4677" w:rsidP="00E90F2E">
            <w:pPr>
              <w:pStyle w:val="ListParagraph"/>
              <w:numPr>
                <w:ilvl w:val="0"/>
                <w:numId w:val="5"/>
              </w:numPr>
            </w:pPr>
            <w:r>
              <w:rPr>
                <w:rFonts w:hint="cs"/>
                <w:rtl/>
              </w:rPr>
              <w:t>ההערות מתייחסות לצורה הכתיבה או הניקוד של המילה, במקרים רבים למספר הפעמים שבה מילה זו מופיעה במקרא (ב=2, ד=4). הערות המסורת הגדולה מציינות היכן מופיעה מילה זו במופע הזה עי ציטוט של המופיעים האחרים</w:t>
            </w:r>
          </w:p>
          <w:p w:rsidR="009E4677" w:rsidRDefault="009E4677" w:rsidP="00E90F2E">
            <w:pPr>
              <w:pStyle w:val="ListParagraph"/>
              <w:numPr>
                <w:ilvl w:val="0"/>
                <w:numId w:val="5"/>
              </w:numPr>
              <w:rPr>
                <w:rtl/>
              </w:rPr>
            </w:pPr>
            <w:r>
              <w:rPr>
                <w:rFonts w:hint="cs"/>
                <w:rtl/>
              </w:rPr>
              <w:t xml:space="preserve">זה לא תמיד קל לפיענוח. </w:t>
            </w:r>
            <w:r w:rsidRPr="009E4677">
              <w:rPr>
                <w:rFonts w:hint="cs"/>
                <w:b/>
                <w:bCs/>
                <w:rtl/>
              </w:rPr>
              <w:t>זה טקסט מקצועי עבור מי שעוסק בנוסח המקרא. גם בזמן יצירתו וגם כיום</w:t>
            </w:r>
            <w:r>
              <w:rPr>
                <w:rFonts w:hint="cs"/>
                <w:rtl/>
              </w:rPr>
              <w:t>. פרופ' יוסי עופר חוקר מסורה, עובד על המהדורה של הטקסט הזה</w:t>
            </w:r>
          </w:p>
        </w:tc>
      </w:tr>
      <w:tr w:rsidR="00E9251C" w:rsidTr="00E9251C">
        <w:tc>
          <w:tcPr>
            <w:tcW w:w="0" w:type="auto"/>
          </w:tcPr>
          <w:p w:rsidR="00E9251C" w:rsidRDefault="00E9251C" w:rsidP="00E9251C">
            <w:pPr>
              <w:rPr>
                <w:rtl/>
              </w:rPr>
            </w:pPr>
            <w:r>
              <w:rPr>
                <w:rFonts w:hint="cs"/>
                <w:rtl/>
              </w:rPr>
              <w:t>6</w:t>
            </w:r>
          </w:p>
        </w:tc>
        <w:tc>
          <w:tcPr>
            <w:tcW w:w="0" w:type="auto"/>
          </w:tcPr>
          <w:p w:rsidR="00E9251C" w:rsidRDefault="009E4677" w:rsidP="00E9251C">
            <w:pPr>
              <w:rPr>
                <w:rtl/>
              </w:rPr>
            </w:pPr>
            <w:r>
              <w:rPr>
                <w:rFonts w:hint="cs"/>
                <w:rtl/>
              </w:rPr>
              <w:t>דוגמה קטנה-</w:t>
            </w:r>
            <w:r w:rsidR="00C60DF2">
              <w:rPr>
                <w:rFonts w:hint="cs"/>
                <w:rtl/>
              </w:rPr>
              <w:t xml:space="preserve"> ונסע דגל מחנה בני דן מאסף לכל המחנות לצבאותם</w:t>
            </w:r>
          </w:p>
          <w:p w:rsidR="00C60DF2" w:rsidRDefault="00C60DF2" w:rsidP="00E9251C">
            <w:pPr>
              <w:rPr>
                <w:rtl/>
              </w:rPr>
            </w:pPr>
            <w:r>
              <w:rPr>
                <w:rFonts w:hint="cs"/>
                <w:rtl/>
              </w:rPr>
              <w:t>מעל "מאסף" עיגול קטן, וכן מעל "המחנות"</w:t>
            </w:r>
          </w:p>
          <w:p w:rsidR="00C60DF2" w:rsidRDefault="00C60DF2" w:rsidP="00E9251C">
            <w:pPr>
              <w:rPr>
                <w:rtl/>
              </w:rPr>
            </w:pPr>
            <w:r>
              <w:rPr>
                <w:rFonts w:hint="cs"/>
                <w:rtl/>
              </w:rPr>
              <w:t>מימין מופיעות 2 אותיות, ד, ב. ד מתייחס למילה מאסף, זאת אומרת שמילה זו מופיע 4 פעמים בתנ"ך</w:t>
            </w:r>
          </w:p>
          <w:p w:rsidR="00C60DF2" w:rsidRDefault="00C60DF2" w:rsidP="00E9251C">
            <w:pPr>
              <w:rPr>
                <w:rtl/>
              </w:rPr>
            </w:pPr>
            <w:r>
              <w:rPr>
                <w:rFonts w:hint="cs"/>
                <w:rtl/>
              </w:rPr>
              <w:t>בראש העמוד, בשורה אחרונה של הערות המסורה נפתחת ההערה, המצטטת את ארבע המופעים של המילה מאסף.</w:t>
            </w:r>
          </w:p>
          <w:p w:rsidR="00C60DF2" w:rsidRDefault="00C60DF2" w:rsidP="00E9251C">
            <w:pPr>
              <w:rPr>
                <w:rtl/>
              </w:rPr>
            </w:pPr>
            <w:r>
              <w:rPr>
                <w:rFonts w:hint="cs"/>
                <w:rtl/>
              </w:rPr>
              <w:lastRenderedPageBreak/>
              <w:t xml:space="preserve">מאסף, ד, לכל המחנות (זה הפסוק שלנו), ואין איש מאסף אותם (שופטים, יט, טו), ואין איש מאסף אותי (שופטים, יט, יח), </w:t>
            </w:r>
            <w:r w:rsidRPr="00C60DF2">
              <w:rPr>
                <w:rFonts w:cs="Arial"/>
                <w:rtl/>
              </w:rPr>
              <w:t>וּכְעָמִ֛יר מֵאַחֲרֵ֥י הַקֹּצֵ֖ר</w:t>
            </w:r>
            <w:r>
              <w:rPr>
                <w:rFonts w:cs="Arial" w:hint="cs"/>
                <w:rtl/>
              </w:rPr>
              <w:t xml:space="preserve">- וכאן חסר סוף הפסוק הרלוונטי- </w:t>
            </w:r>
            <w:r w:rsidRPr="00C60DF2">
              <w:rPr>
                <w:rFonts w:cs="Arial"/>
                <w:rtl/>
              </w:rPr>
              <w:t xml:space="preserve"> וְאֵ֥ין מְאַסֵּֽף</w:t>
            </w:r>
            <w:r>
              <w:rPr>
                <w:rFonts w:hint="cs"/>
                <w:rtl/>
              </w:rPr>
              <w:t xml:space="preserve"> (ירמיהו, ט כא)</w:t>
            </w:r>
          </w:p>
          <w:p w:rsidR="009E4677" w:rsidRDefault="009E4677" w:rsidP="00E9251C">
            <w:pPr>
              <w:rPr>
                <w:rtl/>
              </w:rPr>
            </w:pPr>
          </w:p>
        </w:tc>
      </w:tr>
      <w:tr w:rsidR="00E9251C" w:rsidTr="00E9251C">
        <w:tc>
          <w:tcPr>
            <w:tcW w:w="0" w:type="auto"/>
          </w:tcPr>
          <w:p w:rsidR="00E9251C" w:rsidRDefault="00E9251C" w:rsidP="00E9251C">
            <w:pPr>
              <w:rPr>
                <w:rtl/>
              </w:rPr>
            </w:pPr>
            <w:r>
              <w:rPr>
                <w:rFonts w:hint="cs"/>
                <w:rtl/>
              </w:rPr>
              <w:lastRenderedPageBreak/>
              <w:t>7</w:t>
            </w:r>
          </w:p>
        </w:tc>
        <w:tc>
          <w:tcPr>
            <w:tcW w:w="0" w:type="auto"/>
          </w:tcPr>
          <w:p w:rsidR="00E9251C" w:rsidRDefault="00F6391B" w:rsidP="00E9251C">
            <w:pPr>
              <w:rPr>
                <w:rtl/>
              </w:rPr>
            </w:pPr>
            <w:r>
              <w:rPr>
                <w:rFonts w:hint="cs"/>
                <w:rtl/>
              </w:rPr>
              <w:t xml:space="preserve">אם רוצים- אפשר להראות כאן דוגמה לבלאי ותיקון תפירה, לעומת תיקון בתחתית במעין הדבקה, כמו פלסטר. </w:t>
            </w:r>
            <w:r w:rsidRPr="00F6391B">
              <w:rPr>
                <w:rFonts w:hint="cs"/>
                <w:b/>
                <w:bCs/>
                <w:rtl/>
              </w:rPr>
              <w:t>שניהם ימי ביניימיים</w:t>
            </w:r>
          </w:p>
        </w:tc>
      </w:tr>
      <w:tr w:rsidR="00F6391B" w:rsidTr="00E9251C">
        <w:tc>
          <w:tcPr>
            <w:tcW w:w="0" w:type="auto"/>
          </w:tcPr>
          <w:p w:rsidR="00F6391B" w:rsidRDefault="007F5550" w:rsidP="00F6391B">
            <w:pPr>
              <w:rPr>
                <w:rtl/>
              </w:rPr>
            </w:pPr>
            <w:r>
              <w:rPr>
                <w:rFonts w:hint="cs"/>
                <w:rtl/>
              </w:rPr>
              <w:t>8</w:t>
            </w:r>
          </w:p>
        </w:tc>
        <w:tc>
          <w:tcPr>
            <w:tcW w:w="0" w:type="auto"/>
          </w:tcPr>
          <w:p w:rsidR="00F6391B" w:rsidRDefault="00F6391B" w:rsidP="00F6391B">
            <w:pPr>
              <w:rPr>
                <w:rtl/>
              </w:rPr>
            </w:pPr>
            <w:r>
              <w:rPr>
                <w:rFonts w:hint="cs"/>
                <w:rtl/>
              </w:rPr>
              <w:t>יודעים שעבדו 2 בעלי מסורה. הראשוון כתב מעט הערות, בין הטורים, ורק בתחתית</w:t>
            </w:r>
          </w:p>
        </w:tc>
      </w:tr>
      <w:tr w:rsidR="00F6391B" w:rsidTr="00E9251C">
        <w:tc>
          <w:tcPr>
            <w:tcW w:w="0" w:type="auto"/>
          </w:tcPr>
          <w:p w:rsidR="00F6391B" w:rsidRDefault="007F5550" w:rsidP="00F6391B">
            <w:pPr>
              <w:rPr>
                <w:rtl/>
              </w:rPr>
            </w:pPr>
            <w:r>
              <w:rPr>
                <w:rFonts w:hint="cs"/>
                <w:rtl/>
              </w:rPr>
              <w:t>9</w:t>
            </w:r>
          </w:p>
        </w:tc>
        <w:tc>
          <w:tcPr>
            <w:tcW w:w="0" w:type="auto"/>
          </w:tcPr>
          <w:p w:rsidR="00F6391B" w:rsidRDefault="00F6391B" w:rsidP="00F6391B">
            <w:pPr>
              <w:rPr>
                <w:rtl/>
              </w:rPr>
            </w:pPr>
            <w:r>
              <w:rPr>
                <w:rFonts w:hint="cs"/>
                <w:rtl/>
              </w:rPr>
              <w:t xml:space="preserve">השני מחק את ההערות של הראשון </w:t>
            </w:r>
            <w:r>
              <w:rPr>
                <w:rtl/>
              </w:rPr>
              <w:t>–</w:t>
            </w:r>
            <w:r>
              <w:rPr>
                <w:rFonts w:hint="cs"/>
                <w:rtl/>
              </w:rPr>
              <w:t xml:space="preserve"> ניתן לראות את המחיקה, כאן לא הוסיף הערות במקומן</w:t>
            </w:r>
          </w:p>
        </w:tc>
      </w:tr>
      <w:tr w:rsidR="00F6391B" w:rsidTr="00E9251C">
        <w:tc>
          <w:tcPr>
            <w:tcW w:w="0" w:type="auto"/>
          </w:tcPr>
          <w:p w:rsidR="00F6391B" w:rsidRDefault="00536E02" w:rsidP="00F6391B">
            <w:pPr>
              <w:rPr>
                <w:rtl/>
              </w:rPr>
            </w:pPr>
            <w:r>
              <w:rPr>
                <w:rFonts w:hint="cs"/>
                <w:rtl/>
              </w:rPr>
              <w:t>10</w:t>
            </w:r>
          </w:p>
        </w:tc>
        <w:tc>
          <w:tcPr>
            <w:tcW w:w="0" w:type="auto"/>
          </w:tcPr>
          <w:p w:rsidR="00F6391B" w:rsidRDefault="00F6391B" w:rsidP="00F6391B">
            <w:pPr>
              <w:pStyle w:val="ListParagraph"/>
              <w:numPr>
                <w:ilvl w:val="0"/>
                <w:numId w:val="6"/>
              </w:numPr>
              <w:rPr>
                <w:rtl/>
              </w:rPr>
            </w:pPr>
            <w:r>
              <w:rPr>
                <w:rFonts w:hint="cs"/>
                <w:rtl/>
              </w:rPr>
              <w:t>וכתב הערות רבות, גם בין שולי הטורים וגם בראש העמוד.</w:t>
            </w:r>
          </w:p>
          <w:p w:rsidR="00F6391B" w:rsidRDefault="00F6391B" w:rsidP="00F6391B">
            <w:pPr>
              <w:rPr>
                <w:rtl/>
              </w:rPr>
            </w:pPr>
            <w:r>
              <w:rPr>
                <w:rFonts w:hint="cs"/>
                <w:rtl/>
              </w:rPr>
              <w:t>מבדילים ביניהם גם בעזרת כמות ההערות, סוג הדיו, הכתיבה ואופי ההערות</w:t>
            </w:r>
          </w:p>
          <w:p w:rsidR="00F6391B" w:rsidRDefault="00F6391B" w:rsidP="00F6391B">
            <w:pPr>
              <w:pStyle w:val="ListParagraph"/>
              <w:numPr>
                <w:ilvl w:val="0"/>
                <w:numId w:val="6"/>
              </w:numPr>
              <w:rPr>
                <w:rtl/>
              </w:rPr>
            </w:pPr>
            <w:r>
              <w:rPr>
                <w:rFonts w:hint="cs"/>
                <w:rtl/>
              </w:rPr>
              <w:t>כאמור אנחנו לא יודעים מי כתב את הספר או הזמין אותו אבל למזלנו ניתן ללמוד על ההקשר שבו נוצר ועל בעלים שונים שלו מתוך הערות שנוספו על כתב היד בשלב מאוחר יותר</w:t>
            </w:r>
          </w:p>
        </w:tc>
      </w:tr>
      <w:tr w:rsidR="00F6391B" w:rsidTr="00E9251C">
        <w:tc>
          <w:tcPr>
            <w:tcW w:w="0" w:type="auto"/>
          </w:tcPr>
          <w:p w:rsidR="00F6391B" w:rsidRDefault="00F6391B" w:rsidP="00C42D95">
            <w:pPr>
              <w:rPr>
                <w:rtl/>
              </w:rPr>
            </w:pPr>
            <w:r>
              <w:rPr>
                <w:rFonts w:hint="cs"/>
                <w:rtl/>
              </w:rPr>
              <w:t>1</w:t>
            </w:r>
            <w:r w:rsidR="00C42D95">
              <w:rPr>
                <w:rFonts w:hint="cs"/>
                <w:rtl/>
              </w:rPr>
              <w:t>1</w:t>
            </w:r>
          </w:p>
        </w:tc>
        <w:tc>
          <w:tcPr>
            <w:tcW w:w="0" w:type="auto"/>
          </w:tcPr>
          <w:p w:rsidR="00F6391B" w:rsidRDefault="00F6391B" w:rsidP="00F6391B">
            <w:pPr>
              <w:pStyle w:val="ListParagraph"/>
              <w:numPr>
                <w:ilvl w:val="0"/>
                <w:numId w:val="6"/>
              </w:numPr>
              <w:rPr>
                <w:rtl/>
              </w:rPr>
            </w:pPr>
            <w:r>
              <w:rPr>
                <w:rFonts w:hint="cs"/>
                <w:rtl/>
              </w:rPr>
              <w:t>הזכרתי קודם את בן דורו, כתר ארם צובא, נחשב כיום כנוסח המדוייק של התנ"ך- אבל גם בזמן יצירתו. הקודקס ששון מופיע האיזכור המוקדם ביותר של כתר ארם צובא, יחוסו למסרן אהרן בן אשר ולכינוי כ"כתר"</w:t>
            </w:r>
          </w:p>
          <w:p w:rsidR="00F6391B" w:rsidRDefault="00F6391B" w:rsidP="00F6391B">
            <w:pPr>
              <w:pStyle w:val="ListParagraph"/>
              <w:numPr>
                <w:ilvl w:val="0"/>
                <w:numId w:val="6"/>
              </w:numPr>
            </w:pPr>
            <w:r>
              <w:rPr>
                <w:rFonts w:hint="cs"/>
                <w:rtl/>
              </w:rPr>
              <w:t>מחזור = תנ"ך</w:t>
            </w:r>
          </w:p>
          <w:p w:rsidR="00F6391B" w:rsidRDefault="00F6391B" w:rsidP="00F6391B">
            <w:pPr>
              <w:pStyle w:val="ListParagraph"/>
              <w:numPr>
                <w:ilvl w:val="0"/>
                <w:numId w:val="6"/>
              </w:numPr>
            </w:pPr>
            <w:r>
              <w:rPr>
                <w:rFonts w:hint="cs"/>
                <w:rtl/>
              </w:rPr>
              <w:t>המסרן השני מעיד שראה את ההערה הזו בכתר. חוקרים שמערים שמכיוון שמזכיר את בן אשר בלי ציון שנפטר הרי שהמסרן השני ראה את הכתר בימיו חייו של בן אשר, מקדים את העבודה על הקודקס (זה כבר המסרן השני) למחצית ראשונה של המאה 10.</w:t>
            </w:r>
          </w:p>
          <w:p w:rsidR="00F6391B" w:rsidRDefault="00F6391B" w:rsidP="00F6391B">
            <w:pPr>
              <w:pStyle w:val="ListParagraph"/>
              <w:numPr>
                <w:ilvl w:val="0"/>
                <w:numId w:val="6"/>
              </w:numPr>
              <w:rPr>
                <w:rtl/>
              </w:rPr>
            </w:pPr>
            <w:r>
              <w:rPr>
                <w:rFonts w:hint="cs"/>
                <w:rtl/>
              </w:rPr>
              <w:t>פעל מתוך הקשר, יש קהילה שעוסקת בנוסח המקרא</w:t>
            </w:r>
          </w:p>
        </w:tc>
      </w:tr>
      <w:tr w:rsidR="00F6391B" w:rsidTr="00E9251C">
        <w:tc>
          <w:tcPr>
            <w:tcW w:w="0" w:type="auto"/>
          </w:tcPr>
          <w:p w:rsidR="00F6391B" w:rsidRDefault="00F6391B" w:rsidP="00C42D95">
            <w:pPr>
              <w:rPr>
                <w:rtl/>
              </w:rPr>
            </w:pPr>
            <w:r>
              <w:rPr>
                <w:rFonts w:hint="cs"/>
                <w:rtl/>
              </w:rPr>
              <w:t>1</w:t>
            </w:r>
            <w:r w:rsidR="00C42D95">
              <w:rPr>
                <w:rFonts w:hint="cs"/>
                <w:rtl/>
              </w:rPr>
              <w:t>2</w:t>
            </w:r>
          </w:p>
        </w:tc>
        <w:tc>
          <w:tcPr>
            <w:tcW w:w="0" w:type="auto"/>
          </w:tcPr>
          <w:p w:rsidR="00F6391B" w:rsidRDefault="00F6391B" w:rsidP="00F6391B">
            <w:pPr>
              <w:rPr>
                <w:rtl/>
              </w:rPr>
            </w:pPr>
            <w:r>
              <w:rPr>
                <w:rFonts w:hint="cs"/>
                <w:rtl/>
              </w:rPr>
              <w:t>ניתן להתחקות אחרי 2 ענפי בעלות.</w:t>
            </w:r>
          </w:p>
          <w:p w:rsidR="00F6391B" w:rsidRDefault="00F6391B" w:rsidP="00F6391B">
            <w:pPr>
              <w:rPr>
                <w:rtl/>
              </w:rPr>
            </w:pPr>
            <w:r>
              <w:rPr>
                <w:rFonts w:hint="cs"/>
                <w:rtl/>
              </w:rPr>
              <w:t>בסוף בספר מלכים 2 כתובות</w:t>
            </w:r>
          </w:p>
        </w:tc>
      </w:tr>
      <w:tr w:rsidR="00F6391B" w:rsidTr="00E9251C">
        <w:tc>
          <w:tcPr>
            <w:tcW w:w="0" w:type="auto"/>
          </w:tcPr>
          <w:p w:rsidR="00F6391B" w:rsidRDefault="00C42D95" w:rsidP="00F6391B">
            <w:pPr>
              <w:rPr>
                <w:rtl/>
              </w:rPr>
            </w:pPr>
            <w:r>
              <w:rPr>
                <w:rFonts w:hint="cs"/>
                <w:rtl/>
              </w:rPr>
              <w:t>13</w:t>
            </w:r>
          </w:p>
        </w:tc>
        <w:tc>
          <w:tcPr>
            <w:tcW w:w="0" w:type="auto"/>
          </w:tcPr>
          <w:p w:rsidR="00F6391B" w:rsidRDefault="00F6391B" w:rsidP="00F6391B">
            <w:pPr>
              <w:pStyle w:val="ListParagraph"/>
              <w:numPr>
                <w:ilvl w:val="0"/>
                <w:numId w:val="7"/>
              </w:numPr>
            </w:pPr>
            <w:r>
              <w:rPr>
                <w:rFonts w:hint="cs"/>
                <w:rtl/>
              </w:rPr>
              <w:t xml:space="preserve">כתובת מכירה, כלף בן אברהם, ליצחק בן יחזקאל. </w:t>
            </w:r>
          </w:p>
          <w:p w:rsidR="00F6391B" w:rsidRDefault="00F6391B" w:rsidP="00F6391B">
            <w:pPr>
              <w:pStyle w:val="ListParagraph"/>
              <w:numPr>
                <w:ilvl w:val="0"/>
                <w:numId w:val="7"/>
              </w:numPr>
            </w:pPr>
            <w:r>
              <w:rPr>
                <w:rFonts w:hint="cs"/>
                <w:rtl/>
              </w:rPr>
              <w:t>לא מתעודת שנה או מיקום, ניתוח הכתב מעלה סביבות שנת אלף לספירה</w:t>
            </w:r>
          </w:p>
          <w:p w:rsidR="00F6391B" w:rsidRDefault="00F6391B" w:rsidP="00F6391B">
            <w:pPr>
              <w:pStyle w:val="ListParagraph"/>
              <w:numPr>
                <w:ilvl w:val="0"/>
                <w:numId w:val="7"/>
              </w:numPr>
              <w:rPr>
                <w:rtl/>
              </w:rPr>
            </w:pPr>
            <w:r>
              <w:rPr>
                <w:rFonts w:hint="cs"/>
                <w:rtl/>
              </w:rPr>
              <w:t>בסוף תיעוד המכירה הסופר מברך את הקונה שבניו ימשיכו להגות בתורה</w:t>
            </w:r>
          </w:p>
          <w:p w:rsidR="00F6391B" w:rsidRDefault="00F6391B" w:rsidP="00F6391B">
            <w:pPr>
              <w:rPr>
                <w:rtl/>
              </w:rPr>
            </w:pPr>
          </w:p>
        </w:tc>
      </w:tr>
      <w:tr w:rsidR="00F6391B" w:rsidTr="00E9251C">
        <w:tc>
          <w:tcPr>
            <w:tcW w:w="0" w:type="auto"/>
          </w:tcPr>
          <w:p w:rsidR="00F6391B" w:rsidRDefault="00C42D95" w:rsidP="00F6391B">
            <w:pPr>
              <w:rPr>
                <w:rtl/>
              </w:rPr>
            </w:pPr>
            <w:r>
              <w:rPr>
                <w:rFonts w:hint="cs"/>
                <w:rtl/>
              </w:rPr>
              <w:t>14</w:t>
            </w:r>
          </w:p>
        </w:tc>
        <w:tc>
          <w:tcPr>
            <w:tcW w:w="0" w:type="auto"/>
          </w:tcPr>
          <w:p w:rsidR="00F6391B" w:rsidRDefault="00F6391B" w:rsidP="00F6391B">
            <w:pPr>
              <w:pStyle w:val="ListParagraph"/>
              <w:numPr>
                <w:ilvl w:val="0"/>
                <w:numId w:val="8"/>
              </w:numPr>
              <w:rPr>
                <w:rtl/>
              </w:rPr>
            </w:pPr>
            <w:r>
              <w:rPr>
                <w:rFonts w:hint="cs"/>
                <w:rtl/>
              </w:rPr>
              <w:t>ואכן בראש העמוד יצחק בן יחזקאל ממנה את בניו להיות אחראים על הספר</w:t>
            </w:r>
          </w:p>
          <w:p w:rsidR="00F6391B" w:rsidRDefault="00F6391B" w:rsidP="00F6391B">
            <w:pPr>
              <w:pStyle w:val="ListParagraph"/>
              <w:numPr>
                <w:ilvl w:val="0"/>
                <w:numId w:val="8"/>
              </w:numPr>
              <w:rPr>
                <w:rtl/>
              </w:rPr>
            </w:pPr>
            <w:r>
              <w:rPr>
                <w:rFonts w:hint="cs"/>
                <w:rtl/>
              </w:rPr>
              <w:t>הוא אמנם קנה אבל אוסר על המכירה ומקלל את המוכר או הגונב. זהו הקדש, כבר לא רכוש פרטי</w:t>
            </w:r>
          </w:p>
        </w:tc>
      </w:tr>
      <w:tr w:rsidR="00F6391B" w:rsidTr="00E9251C">
        <w:tc>
          <w:tcPr>
            <w:tcW w:w="0" w:type="auto"/>
          </w:tcPr>
          <w:p w:rsidR="00F6391B" w:rsidRDefault="00F6391B" w:rsidP="00C42D95">
            <w:pPr>
              <w:rPr>
                <w:rtl/>
              </w:rPr>
            </w:pPr>
            <w:r>
              <w:rPr>
                <w:rFonts w:hint="cs"/>
                <w:rtl/>
              </w:rPr>
              <w:t>1</w:t>
            </w:r>
            <w:r w:rsidR="00C42D95">
              <w:rPr>
                <w:rFonts w:hint="cs"/>
                <w:rtl/>
              </w:rPr>
              <w:t>5</w:t>
            </w:r>
          </w:p>
        </w:tc>
        <w:tc>
          <w:tcPr>
            <w:tcW w:w="0" w:type="auto"/>
          </w:tcPr>
          <w:p w:rsidR="00F6391B" w:rsidRDefault="00F6391B" w:rsidP="00F6391B">
            <w:pPr>
              <w:pStyle w:val="ListParagraph"/>
              <w:numPr>
                <w:ilvl w:val="0"/>
                <w:numId w:val="9"/>
              </w:numPr>
            </w:pPr>
            <w:r>
              <w:rPr>
                <w:rFonts w:hint="cs"/>
                <w:rtl/>
              </w:rPr>
              <w:t>ענף בעלות שני: כתובת הקדשה שמפוצלת בין שני דפים, לבית הכנסת במאכסין (כניסה=בית כנסת). מאכסין מזוהה כיום עם מ</w:t>
            </w:r>
            <w:r>
              <w:rPr>
                <w:rFonts w:asciiTheme="minorBidi" w:hAnsiTheme="minorBidi"/>
                <w:rtl/>
              </w:rPr>
              <w:t>ַ</w:t>
            </w:r>
            <w:r>
              <w:rPr>
                <w:rFonts w:hint="cs"/>
                <w:rtl/>
              </w:rPr>
              <w:t>ר</w:t>
            </w:r>
            <w:r>
              <w:rPr>
                <w:rFonts w:asciiTheme="minorBidi" w:hAnsiTheme="minorBidi"/>
                <w:rtl/>
              </w:rPr>
              <w:t>ְ</w:t>
            </w:r>
            <w:r>
              <w:rPr>
                <w:rFonts w:hint="cs"/>
                <w:rtl/>
              </w:rPr>
              <w:t>כ</w:t>
            </w:r>
            <w:r>
              <w:rPr>
                <w:rFonts w:asciiTheme="minorBidi" w:hAnsiTheme="minorBidi"/>
                <w:rtl/>
              </w:rPr>
              <w:t>ׇּ</w:t>
            </w:r>
            <w:r>
              <w:rPr>
                <w:rFonts w:hint="cs"/>
                <w:rtl/>
              </w:rPr>
              <w:t>ד</w:t>
            </w:r>
            <w:r>
              <w:rPr>
                <w:rFonts w:asciiTheme="minorBidi" w:hAnsiTheme="minorBidi"/>
                <w:rtl/>
              </w:rPr>
              <w:t>ַ</w:t>
            </w:r>
            <w:r>
              <w:rPr>
                <w:rFonts w:hint="cs"/>
                <w:rtl/>
              </w:rPr>
              <w:t>ה (במלעיל, דגש על המ'), בצפון מזרח סוריה.</w:t>
            </w:r>
          </w:p>
          <w:p w:rsidR="00F6391B" w:rsidRDefault="00F6391B" w:rsidP="00F6391B">
            <w:pPr>
              <w:pStyle w:val="ListParagraph"/>
              <w:numPr>
                <w:ilvl w:val="0"/>
                <w:numId w:val="9"/>
              </w:numPr>
              <w:rPr>
                <w:rtl/>
              </w:rPr>
            </w:pPr>
            <w:r>
              <w:rPr>
                <w:rFonts w:hint="cs"/>
                <w:rtl/>
              </w:rPr>
              <w:t>לשמחתנו על קהילת מאכסין ידוע מיומן של עובדיה הגר, גר צדק כומר מדרום איטליה, שנסע והגיע למזרח התיכון במחצית הראשונה של המאה ה-12. מזכיר בזכרונות שלו שעצר במאכסין בדרך מחאלב לבגדד. כך שידוע שבתקופה זו התקיימה שם קהילה , מעבר לכך לא ידוע עליה הרבה</w:t>
            </w:r>
          </w:p>
        </w:tc>
      </w:tr>
      <w:tr w:rsidR="00F6391B" w:rsidTr="00E9251C">
        <w:tc>
          <w:tcPr>
            <w:tcW w:w="0" w:type="auto"/>
          </w:tcPr>
          <w:p w:rsidR="00F6391B" w:rsidRDefault="00F6391B" w:rsidP="00C42D95">
            <w:pPr>
              <w:rPr>
                <w:rtl/>
              </w:rPr>
            </w:pPr>
            <w:r>
              <w:rPr>
                <w:rFonts w:hint="cs"/>
                <w:rtl/>
              </w:rPr>
              <w:t>1</w:t>
            </w:r>
            <w:r w:rsidR="00C42D95">
              <w:rPr>
                <w:rFonts w:hint="cs"/>
                <w:rtl/>
              </w:rPr>
              <w:t>6</w:t>
            </w:r>
          </w:p>
        </w:tc>
        <w:tc>
          <w:tcPr>
            <w:tcW w:w="0" w:type="auto"/>
          </w:tcPr>
          <w:p w:rsidR="00C42D95" w:rsidRDefault="00F6391B" w:rsidP="00C42D95">
            <w:pPr>
              <w:pStyle w:val="ListParagraph"/>
              <w:numPr>
                <w:ilvl w:val="0"/>
                <w:numId w:val="10"/>
              </w:numPr>
            </w:pPr>
            <w:r>
              <w:rPr>
                <w:rFonts w:hint="cs"/>
                <w:rtl/>
              </w:rPr>
              <w:t xml:space="preserve">למעט מכתובת אחרת המופיעה בעמו ד האחרון של הספר- </w:t>
            </w:r>
          </w:p>
          <w:p w:rsidR="00F6391B" w:rsidRDefault="00F6391B" w:rsidP="00F6391B">
            <w:pPr>
              <w:pStyle w:val="ListParagraph"/>
              <w:numPr>
                <w:ilvl w:val="0"/>
                <w:numId w:val="10"/>
              </w:numPr>
              <w:rPr>
                <w:rtl/>
              </w:rPr>
            </w:pPr>
          </w:p>
        </w:tc>
      </w:tr>
      <w:tr w:rsidR="00C42D95" w:rsidTr="00E9251C">
        <w:tc>
          <w:tcPr>
            <w:tcW w:w="0" w:type="auto"/>
          </w:tcPr>
          <w:p w:rsidR="00C42D95" w:rsidRDefault="00C42D95" w:rsidP="00C42D95">
            <w:pPr>
              <w:rPr>
                <w:rtl/>
              </w:rPr>
            </w:pPr>
            <w:r>
              <w:rPr>
                <w:rFonts w:hint="cs"/>
                <w:rtl/>
              </w:rPr>
              <w:t>17</w:t>
            </w:r>
          </w:p>
        </w:tc>
        <w:tc>
          <w:tcPr>
            <w:tcW w:w="0" w:type="auto"/>
          </w:tcPr>
          <w:p w:rsidR="00C42D95" w:rsidRDefault="00C42D95" w:rsidP="00C42D95">
            <w:pPr>
              <w:pStyle w:val="ListParagraph"/>
              <w:numPr>
                <w:ilvl w:val="0"/>
                <w:numId w:val="10"/>
              </w:numPr>
            </w:pPr>
            <w:r>
              <w:rPr>
                <w:rFonts w:hint="cs"/>
                <w:rtl/>
              </w:rPr>
              <w:t>מעניקה את הספר למשמרת לסלאמה (מבוטא בדגש על הל, כמו סלאמי...) א</w:t>
            </w:r>
            <w:r>
              <w:rPr>
                <w:rFonts w:asciiTheme="minorBidi" w:hAnsiTheme="minorBidi"/>
                <w:rtl/>
              </w:rPr>
              <w:t>ׅ</w:t>
            </w:r>
            <w:r>
              <w:rPr>
                <w:rFonts w:hint="cs"/>
                <w:rtl/>
              </w:rPr>
              <w:t>ב</w:t>
            </w:r>
            <w:r>
              <w:rPr>
                <w:rFonts w:asciiTheme="minorBidi" w:hAnsiTheme="minorBidi"/>
                <w:rtl/>
              </w:rPr>
              <w:t>ּ</w:t>
            </w:r>
            <w:r>
              <w:rPr>
                <w:rFonts w:hint="cs"/>
                <w:rtl/>
              </w:rPr>
              <w:t>ן א</w:t>
            </w:r>
            <w:r>
              <w:rPr>
                <w:rFonts w:asciiTheme="minorBidi" w:hAnsiTheme="minorBidi"/>
                <w:rtl/>
              </w:rPr>
              <w:t>ׇ</w:t>
            </w:r>
            <w:r>
              <w:rPr>
                <w:rFonts w:hint="cs"/>
                <w:rtl/>
              </w:rPr>
              <w:t>ב</w:t>
            </w:r>
            <w:r>
              <w:rPr>
                <w:rFonts w:asciiTheme="minorBidi" w:hAnsiTheme="minorBidi"/>
                <w:rtl/>
              </w:rPr>
              <w:t>ּׅ</w:t>
            </w:r>
            <w:r>
              <w:rPr>
                <w:rFonts w:hint="cs"/>
                <w:rtl/>
              </w:rPr>
              <w:t>י א</w:t>
            </w:r>
            <w:r>
              <w:rPr>
                <w:rFonts w:asciiTheme="minorBidi" w:hAnsiTheme="minorBidi"/>
                <w:rtl/>
              </w:rPr>
              <w:t>ֶ</w:t>
            </w:r>
            <w:r>
              <w:rPr>
                <w:rFonts w:hint="cs"/>
                <w:rtl/>
              </w:rPr>
              <w:t>לפ</w:t>
            </w:r>
            <w:r>
              <w:rPr>
                <w:rFonts w:asciiTheme="minorBidi" w:hAnsiTheme="minorBidi"/>
                <w:rtl/>
              </w:rPr>
              <w:t>ַ</w:t>
            </w:r>
            <w:r>
              <w:rPr>
                <w:rFonts w:hint="cs"/>
                <w:rtl/>
              </w:rPr>
              <w:t>אכ</w:t>
            </w:r>
            <w:r>
              <w:rPr>
                <w:rFonts w:asciiTheme="minorBidi" w:hAnsiTheme="minorBidi"/>
                <w:rtl/>
              </w:rPr>
              <w:t>ֶ</w:t>
            </w:r>
            <w:r>
              <w:rPr>
                <w:rFonts w:hint="cs"/>
                <w:rtl/>
              </w:rPr>
              <w:t>ר, עד אשר יבנה בית הכנסת של מאכסין מחדש. ואם לא יבנה בימיו חייו- יועבר לבניו באותו תנאי. כלומר יש כאן עדות לחורבנו של בית הכנסת.</w:t>
            </w:r>
          </w:p>
          <w:p w:rsidR="00C42D95" w:rsidRDefault="00C42D95" w:rsidP="00C42D95">
            <w:pPr>
              <w:pStyle w:val="ListParagraph"/>
              <w:numPr>
                <w:ilvl w:val="0"/>
                <w:numId w:val="10"/>
              </w:numPr>
            </w:pPr>
            <w:r>
              <w:rPr>
                <w:rFonts w:hint="cs"/>
                <w:rtl/>
              </w:rPr>
              <w:t xml:space="preserve">גם כתובת זו לא מזכירה תאריך. ניתוח הכתב מצביע שנכתבה </w:t>
            </w:r>
            <w:r w:rsidRPr="001522F6">
              <w:rPr>
                <w:rFonts w:hint="cs"/>
                <w:b/>
                <w:bCs/>
                <w:rtl/>
              </w:rPr>
              <w:t>לא לפני סוף המאה ה-14</w:t>
            </w:r>
            <w:r>
              <w:rPr>
                <w:rFonts w:hint="cs"/>
                <w:rtl/>
              </w:rPr>
              <w:t xml:space="preserve"> ואולי מאוחר יותר. </w:t>
            </w:r>
          </w:p>
          <w:p w:rsidR="00C42D95" w:rsidRDefault="00C42D95" w:rsidP="00C42D95">
            <w:pPr>
              <w:pStyle w:val="ListParagraph"/>
              <w:numPr>
                <w:ilvl w:val="0"/>
                <w:numId w:val="10"/>
              </w:numPr>
            </w:pPr>
            <w:r>
              <w:rPr>
                <w:rFonts w:hint="cs"/>
                <w:rtl/>
              </w:rPr>
              <w:t>לא ידוע כיצד נגרם חורבן בית הכנסת, אולי בזמן הכיבוש הטימורי בסוף המאה ה14, אבל אולי בנסיבות אחרות (יתכן והכתובת מאוחרת יותר)</w:t>
            </w:r>
          </w:p>
          <w:p w:rsidR="00C42D95" w:rsidRDefault="00C42D95" w:rsidP="00C42D95">
            <w:pPr>
              <w:pStyle w:val="ListParagraph"/>
              <w:numPr>
                <w:ilvl w:val="0"/>
                <w:numId w:val="10"/>
              </w:numPr>
              <w:rPr>
                <w:rtl/>
              </w:rPr>
            </w:pPr>
            <w:r>
              <w:rPr>
                <w:rFonts w:hint="cs"/>
                <w:rtl/>
              </w:rPr>
              <w:t>זו העדות האחרונה לבעלות על הספר עד לראשית המאה ה20</w:t>
            </w:r>
          </w:p>
        </w:tc>
      </w:tr>
      <w:tr w:rsidR="00F6391B" w:rsidTr="00E9251C">
        <w:tc>
          <w:tcPr>
            <w:tcW w:w="0" w:type="auto"/>
          </w:tcPr>
          <w:p w:rsidR="00F6391B" w:rsidRDefault="00F6391B" w:rsidP="004C6775">
            <w:pPr>
              <w:rPr>
                <w:rtl/>
              </w:rPr>
            </w:pPr>
            <w:r>
              <w:rPr>
                <w:rFonts w:hint="cs"/>
                <w:rtl/>
              </w:rPr>
              <w:t>1</w:t>
            </w:r>
            <w:r w:rsidR="004C6775">
              <w:rPr>
                <w:rFonts w:hint="cs"/>
                <w:rtl/>
              </w:rPr>
              <w:t>8</w:t>
            </w:r>
          </w:p>
        </w:tc>
        <w:tc>
          <w:tcPr>
            <w:tcW w:w="0" w:type="auto"/>
          </w:tcPr>
          <w:p w:rsidR="00F6391B" w:rsidRDefault="00F6391B" w:rsidP="00F6391B">
            <w:pPr>
              <w:pStyle w:val="ListParagraph"/>
              <w:numPr>
                <w:ilvl w:val="0"/>
                <w:numId w:val="11"/>
              </w:numPr>
            </w:pPr>
            <w:r>
              <w:rPr>
                <w:rFonts w:hint="cs"/>
                <w:rtl/>
              </w:rPr>
              <w:t>דוד סלימן ששון, קצת עליו.  מציעים לו לרכוש כתב יד עתיק של התנ"ך, מופיע באנקרה (עי אהרון פריימן. לא מידע קריטי). רוכש תמורת 350 לישט, מכניס לאוסף ונותן מספר. 1929</w:t>
            </w:r>
          </w:p>
          <w:p w:rsidR="00536E02" w:rsidRDefault="00536E02" w:rsidP="00536E02">
            <w:pPr>
              <w:pStyle w:val="ListParagraph"/>
              <w:numPr>
                <w:ilvl w:val="0"/>
                <w:numId w:val="11"/>
              </w:numPr>
            </w:pPr>
            <w:r>
              <w:rPr>
                <w:rFonts w:hint="cs"/>
                <w:rtl/>
              </w:rPr>
              <w:t xml:space="preserve">קודקס ששון חוזר לבמת ההיסטוריה ולמודעות. לכן נקרא על שמו של אוסף ששון. </w:t>
            </w:r>
          </w:p>
          <w:p w:rsidR="00F6391B" w:rsidRDefault="00536E02" w:rsidP="00536E02">
            <w:pPr>
              <w:pStyle w:val="ListParagraph"/>
              <w:numPr>
                <w:ilvl w:val="0"/>
                <w:numId w:val="11"/>
              </w:numPr>
              <w:rPr>
                <w:rtl/>
              </w:rPr>
            </w:pPr>
            <w:r>
              <w:rPr>
                <w:rFonts w:hint="cs"/>
                <w:rtl/>
              </w:rPr>
              <w:t>ששון היה איש ספר, אספן וחוקר, אפשר לחוקרים אחרים לעיין ולצלם את קודקס ששון ונעשה בו שימוש במקרא נוסח המקרא. אבל הספר היה ידוע רק למי שעסק בתחום</w:t>
            </w:r>
          </w:p>
        </w:tc>
      </w:tr>
      <w:tr w:rsidR="00536E02" w:rsidTr="00E9251C">
        <w:tc>
          <w:tcPr>
            <w:tcW w:w="0" w:type="auto"/>
          </w:tcPr>
          <w:p w:rsidR="00536E02" w:rsidRDefault="00536E02" w:rsidP="004C6775">
            <w:pPr>
              <w:rPr>
                <w:rFonts w:hint="cs"/>
                <w:rtl/>
              </w:rPr>
            </w:pPr>
            <w:r>
              <w:rPr>
                <w:rFonts w:hint="cs"/>
                <w:rtl/>
              </w:rPr>
              <w:t>19</w:t>
            </w:r>
          </w:p>
        </w:tc>
        <w:tc>
          <w:tcPr>
            <w:tcW w:w="0" w:type="auto"/>
          </w:tcPr>
          <w:p w:rsidR="00536E02" w:rsidRDefault="00536E02" w:rsidP="00536E02">
            <w:pPr>
              <w:rPr>
                <w:rFonts w:hint="cs"/>
                <w:rtl/>
              </w:rPr>
            </w:pPr>
            <w:r>
              <w:rPr>
                <w:rFonts w:hint="cs"/>
                <w:rtl/>
              </w:rPr>
              <w:t>בתמונה כריכת הספר, על השדרה למטה באותיות מוזהבות מספר הקטלוגי באוסף ששון.</w:t>
            </w:r>
          </w:p>
          <w:p w:rsidR="00536E02" w:rsidRDefault="00536E02" w:rsidP="00536E02">
            <w:pPr>
              <w:rPr>
                <w:rtl/>
              </w:rPr>
            </w:pPr>
            <w:r>
              <w:rPr>
                <w:rFonts w:hint="cs"/>
                <w:rtl/>
              </w:rPr>
              <w:t>המספר למעלה נטבע עליו בגלגול הבא:</w:t>
            </w:r>
          </w:p>
          <w:p w:rsidR="00536E02" w:rsidRDefault="00536E02" w:rsidP="00536E02">
            <w:pPr>
              <w:pStyle w:val="ListParagraph"/>
              <w:numPr>
                <w:ilvl w:val="0"/>
                <w:numId w:val="11"/>
              </w:numPr>
            </w:pPr>
            <w:r>
              <w:rPr>
                <w:rFonts w:hint="cs"/>
                <w:rtl/>
              </w:rPr>
              <w:t>1978 מכירה לקרן הפנסיה של הרכבת הבריטית, הופקד בבריטיש לייבררי</w:t>
            </w:r>
          </w:p>
          <w:p w:rsidR="00536E02" w:rsidRDefault="00536E02" w:rsidP="00536E02">
            <w:pPr>
              <w:pStyle w:val="ListParagraph"/>
              <w:numPr>
                <w:ilvl w:val="0"/>
                <w:numId w:val="11"/>
              </w:numPr>
            </w:pPr>
            <w:r>
              <w:rPr>
                <w:rFonts w:hint="cs"/>
                <w:rtl/>
              </w:rPr>
              <w:t>הוצג פעם אחת, 1982, כחלק מתערוכה על כתבי יד מאוסף ששון</w:t>
            </w:r>
          </w:p>
          <w:p w:rsidR="00536E02" w:rsidRDefault="00536E02" w:rsidP="00536E02">
            <w:pPr>
              <w:pStyle w:val="ListParagraph"/>
              <w:numPr>
                <w:ilvl w:val="0"/>
                <w:numId w:val="11"/>
              </w:numPr>
            </w:pPr>
            <w:r>
              <w:rPr>
                <w:rFonts w:hint="cs"/>
                <w:rtl/>
              </w:rPr>
              <w:t xml:space="preserve">מכירה פומבית נוספת, 1989. נמכר בסופו של דבר לז'קי ספרא, מז'נבה. </w:t>
            </w:r>
          </w:p>
          <w:p w:rsidR="00536E02" w:rsidRDefault="00536E02" w:rsidP="00536E02">
            <w:pPr>
              <w:pStyle w:val="ListParagraph"/>
              <w:numPr>
                <w:ilvl w:val="0"/>
                <w:numId w:val="11"/>
              </w:numPr>
            </w:pPr>
            <w:r>
              <w:rPr>
                <w:rFonts w:hint="cs"/>
                <w:rtl/>
              </w:rPr>
              <w:t>השנה הוצא שוב למכירה. היות ולא היה מוכר לציבור סותביס ערכו מסע יחסי ציבור והעלאתו למודעות, כך זכינו שיוצג אצלנו</w:t>
            </w:r>
          </w:p>
          <w:p w:rsidR="00536E02" w:rsidRDefault="00536E02" w:rsidP="00536E02">
            <w:pPr>
              <w:rPr>
                <w:rFonts w:hint="cs"/>
                <w:rtl/>
              </w:rPr>
            </w:pPr>
            <w:r>
              <w:rPr>
                <w:rFonts w:hint="cs"/>
                <w:rtl/>
              </w:rPr>
              <w:t>דאגה לכך שיעלם שוב באוסף פרטי ולא יהיה נגיש לציבור</w:t>
            </w:r>
          </w:p>
        </w:tc>
      </w:tr>
      <w:tr w:rsidR="00F6391B" w:rsidTr="00E9251C">
        <w:tc>
          <w:tcPr>
            <w:tcW w:w="0" w:type="auto"/>
          </w:tcPr>
          <w:p w:rsidR="00F6391B" w:rsidRDefault="00536E02" w:rsidP="004C6775">
            <w:pPr>
              <w:rPr>
                <w:rtl/>
              </w:rPr>
            </w:pPr>
            <w:r>
              <w:rPr>
                <w:rFonts w:hint="cs"/>
                <w:rtl/>
              </w:rPr>
              <w:t>20</w:t>
            </w:r>
          </w:p>
        </w:tc>
        <w:tc>
          <w:tcPr>
            <w:tcW w:w="0" w:type="auto"/>
          </w:tcPr>
          <w:p w:rsidR="00F6391B" w:rsidRDefault="00F6391B" w:rsidP="00F6391B">
            <w:pPr>
              <w:rPr>
                <w:rtl/>
              </w:rPr>
            </w:pPr>
            <w:r>
              <w:rPr>
                <w:rFonts w:hint="cs"/>
                <w:rtl/>
              </w:rPr>
              <w:t xml:space="preserve">אלפרד מוזס, </w:t>
            </w:r>
            <w:r>
              <w:rPr>
                <w:rFonts w:cs="Arial" w:hint="cs"/>
                <w:rtl/>
              </w:rPr>
              <w:t>ששימש כשגריר ארה"ב ברומניה,</w:t>
            </w:r>
            <w:r w:rsidRPr="001522F6">
              <w:rPr>
                <w:rFonts w:cs="Arial"/>
                <w:rtl/>
              </w:rPr>
              <w:t xml:space="preserve"> ידיד נאמן וותיק של המוזיאון. הוא חבר בדירקטוריון ״אנו״ ומשמש כיו"ר מועצת הכבוד הבינ״ל שלו.</w:t>
            </w:r>
            <w:r>
              <w:rPr>
                <w:rFonts w:hint="cs"/>
                <w:rtl/>
              </w:rPr>
              <w:t xml:space="preserve"> אפשר את הרכישה והתרומה עבור המוזיאון מתוך דאגה שקודקס ששון ישאר בטוח, נגיש לציבור, במוזיאון אנו. </w:t>
            </w:r>
          </w:p>
          <w:p w:rsidR="00F6391B" w:rsidRPr="001522F6" w:rsidRDefault="00F6391B" w:rsidP="00F6391B">
            <w:pPr>
              <w:rPr>
                <w:rtl/>
              </w:rPr>
            </w:pPr>
            <w:r>
              <w:rPr>
                <w:rFonts w:hint="cs"/>
                <w:rtl/>
              </w:rPr>
              <w:t>בואו לבקר.</w:t>
            </w:r>
          </w:p>
        </w:tc>
      </w:tr>
    </w:tbl>
    <w:p w:rsidR="00E9251C" w:rsidRDefault="00E9251C" w:rsidP="00E9251C"/>
    <w:sectPr w:rsidR="00E9251C" w:rsidSect="00517E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DD"/>
    <w:multiLevelType w:val="hybridMultilevel"/>
    <w:tmpl w:val="5398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3472A"/>
    <w:multiLevelType w:val="hybridMultilevel"/>
    <w:tmpl w:val="BBC8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C283E"/>
    <w:multiLevelType w:val="hybridMultilevel"/>
    <w:tmpl w:val="17FA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0146E"/>
    <w:multiLevelType w:val="hybridMultilevel"/>
    <w:tmpl w:val="4E64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F631C"/>
    <w:multiLevelType w:val="hybridMultilevel"/>
    <w:tmpl w:val="F366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A2F34"/>
    <w:multiLevelType w:val="hybridMultilevel"/>
    <w:tmpl w:val="DC26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22761"/>
    <w:multiLevelType w:val="hybridMultilevel"/>
    <w:tmpl w:val="D98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407D0"/>
    <w:multiLevelType w:val="hybridMultilevel"/>
    <w:tmpl w:val="69BCD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27B8E"/>
    <w:multiLevelType w:val="hybridMultilevel"/>
    <w:tmpl w:val="6E5C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F05F4"/>
    <w:multiLevelType w:val="hybridMultilevel"/>
    <w:tmpl w:val="15BC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91407"/>
    <w:multiLevelType w:val="hybridMultilevel"/>
    <w:tmpl w:val="0874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9"/>
  </w:num>
  <w:num w:numId="5">
    <w:abstractNumId w:val="10"/>
  </w:num>
  <w:num w:numId="6">
    <w:abstractNumId w:val="3"/>
  </w:num>
  <w:num w:numId="7">
    <w:abstractNumId w:val="2"/>
  </w:num>
  <w:num w:numId="8">
    <w:abstractNumId w:val="5"/>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1C"/>
    <w:rsid w:val="00033842"/>
    <w:rsid w:val="000C2E64"/>
    <w:rsid w:val="001522F6"/>
    <w:rsid w:val="001A33C4"/>
    <w:rsid w:val="004C6775"/>
    <w:rsid w:val="00517E1B"/>
    <w:rsid w:val="00536E02"/>
    <w:rsid w:val="007F5550"/>
    <w:rsid w:val="009E4677"/>
    <w:rsid w:val="00A005D5"/>
    <w:rsid w:val="00A50DB5"/>
    <w:rsid w:val="00B737E9"/>
    <w:rsid w:val="00BF13AA"/>
    <w:rsid w:val="00C42D95"/>
    <w:rsid w:val="00C60DF2"/>
    <w:rsid w:val="00E90F2E"/>
    <w:rsid w:val="00E9251C"/>
    <w:rsid w:val="00F33992"/>
    <w:rsid w:val="00F639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84B7"/>
  <w15:chartTrackingRefBased/>
  <w15:docId w15:val="{E80F14E0-CB48-4958-A7B2-CEFDD8D6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51C"/>
    <w:pPr>
      <w:ind w:left="720"/>
      <w:contextualSpacing/>
    </w:pPr>
  </w:style>
  <w:style w:type="table" w:styleId="TableGrid">
    <w:name w:val="Table Grid"/>
    <w:basedOn w:val="TableNormal"/>
    <w:uiPriority w:val="39"/>
    <w:rsid w:val="00E92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1036</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2023-11-02T06:19:00Z</dcterms:created>
  <dcterms:modified xsi:type="dcterms:W3CDTF">2023-11-06T10:23:00Z</dcterms:modified>
</cp:coreProperties>
</file>